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462B" w:rsidRDefault="00C4488A" w:rsidP="00C4488A">
      <w:pPr>
        <w:jc w:val="center"/>
        <w:rPr>
          <w:color w:val="FF0000"/>
          <w:u w:val="single"/>
        </w:rPr>
      </w:pPr>
      <w:r>
        <w:rPr>
          <w:color w:val="FF0000"/>
          <w:u w:val="single"/>
        </w:rPr>
        <w:t>Principio della p</w:t>
      </w:r>
      <w:r w:rsidR="00AB6EB9" w:rsidRPr="00AB6EB9">
        <w:rPr>
          <w:color w:val="FF0000"/>
          <w:u w:val="single"/>
        </w:rPr>
        <w:t>ropagazione degli errori</w:t>
      </w:r>
      <w:r>
        <w:rPr>
          <w:color w:val="FF0000"/>
          <w:u w:val="single"/>
        </w:rPr>
        <w:t xml:space="preserve"> applicato al calcolo della densità</w:t>
      </w:r>
      <w:r w:rsidR="00585CD6">
        <w:rPr>
          <w:color w:val="FF0000"/>
          <w:u w:val="single"/>
        </w:rPr>
        <w:t xml:space="preserve"> di più solidi</w:t>
      </w:r>
    </w:p>
    <w:p w:rsidR="00AB6EB9" w:rsidRDefault="00AB6EB9" w:rsidP="00AB6EB9">
      <w:pPr>
        <w:jc w:val="center"/>
        <w:rPr>
          <w:color w:val="FF0000"/>
          <w:u w:val="single"/>
        </w:rPr>
      </w:pPr>
    </w:p>
    <w:p w:rsidR="00AB6EB9" w:rsidRPr="00840C0E" w:rsidRDefault="00AB6EB9" w:rsidP="00AB6EB9">
      <w:r>
        <w:rPr>
          <w:b/>
        </w:rPr>
        <w:t xml:space="preserve">Luogo: </w:t>
      </w:r>
      <w:r w:rsidR="00840C0E">
        <w:t>Laboratorio di fisica 1 del liceo.</w:t>
      </w:r>
    </w:p>
    <w:p w:rsidR="00AB6EB9" w:rsidRDefault="00AB6EB9" w:rsidP="00AB6EB9">
      <w:r>
        <w:rPr>
          <w:b/>
        </w:rPr>
        <w:t xml:space="preserve">Materiale utilizzato: </w:t>
      </w:r>
      <w:r w:rsidR="00840C0E">
        <w:t xml:space="preserve">materiale soggetto a misurazione [solidi metallici (cubo e piastrina)], strumenti di misurazione (calibro ventesimale, micrometro centesimale, bilancia con </w:t>
      </w:r>
      <w:r w:rsidR="00145FCE">
        <w:t xml:space="preserve">sensibilità </w:t>
      </w:r>
      <w:r w:rsidR="00840C0E">
        <w:t>al centigrammo).</w:t>
      </w:r>
    </w:p>
    <w:p w:rsidR="00840C0E" w:rsidRDefault="00840C0E" w:rsidP="00AB6EB9"/>
    <w:p w:rsidR="00840C0E" w:rsidRDefault="00840C0E" w:rsidP="00840C0E">
      <w:pPr>
        <w:jc w:val="center"/>
      </w:pPr>
    </w:p>
    <w:p w:rsidR="00840C0E" w:rsidRPr="004979DF" w:rsidRDefault="00840C0E" w:rsidP="00840C0E">
      <w:pPr>
        <w:jc w:val="center"/>
        <w:rPr>
          <w:i/>
        </w:rPr>
      </w:pPr>
      <w:r w:rsidRPr="004979DF">
        <w:rPr>
          <w:i/>
        </w:rPr>
        <w:t>Premessa teorica</w:t>
      </w:r>
    </w:p>
    <w:p w:rsidR="00840C0E" w:rsidRDefault="00840C0E" w:rsidP="00840C0E">
      <w:pPr>
        <w:jc w:val="center"/>
      </w:pPr>
    </w:p>
    <w:p w:rsidR="00840C0E" w:rsidRDefault="00840C0E" w:rsidP="00840C0E">
      <w:r>
        <w:rPr>
          <w:caps/>
        </w:rPr>
        <w:t>i</w:t>
      </w:r>
      <w:r>
        <w:t>l materiale soggetto a misurazioni è costituito da oggetti esemplificativi e di facile misurazione. È tuttavia possibile sostituire gli stessi</w:t>
      </w:r>
      <w:r w:rsidR="005C4288">
        <w:t xml:space="preserve">, ma le misure riportate in questa relazione verrebbero annullate. Sicché tali dati sono esemplificativi e riconducibili all’esperienza diretta da noi provata durante le lezioni in laboratorio in data sopra riportate. </w:t>
      </w:r>
      <w:r w:rsidR="00852B31">
        <w:t xml:space="preserve">Inoltre, per tutto ciò che concerne gli errori, la loro classificazione, etc., la distribuzione statistica dei </w:t>
      </w:r>
      <w:r w:rsidR="002A732B">
        <w:t xml:space="preserve">dati e gli strumenti di misurazione (calibro ventesimale e micrometro ventesimale, vedere la relazione </w:t>
      </w:r>
      <w:r w:rsidR="002A732B" w:rsidRPr="002A732B">
        <w:rPr>
          <w:i/>
        </w:rPr>
        <w:t>“Misurazione di lunghezze con strumenti di sensibilità crescente”</w:t>
      </w:r>
      <w:r w:rsidR="002A732B">
        <w:t>.</w:t>
      </w:r>
    </w:p>
    <w:p w:rsidR="005C4288" w:rsidRPr="00840C0E" w:rsidRDefault="005C4288" w:rsidP="00840C0E">
      <w:r>
        <w:tab/>
        <w:t xml:space="preserve">Durante questa esperienza abbiamo applicato dei principi precedentemente studiati circa la propagazione dell’errore. L’errore che affligge una misurazione diretta, i quali dati sono ottenuti da una misurazione compiuta fisicamente, può propagarsi nel momento in cui vengono </w:t>
      </w:r>
      <w:r w:rsidR="00585CD6">
        <w:t>eseguiti</w:t>
      </w:r>
      <w:r>
        <w:t xml:space="preserve"> calcoli, quali addizione, sottrazione, prodotto e rapporto, con misure aventi un errore. Tale errore infatti si propagherà aumentando l’imprecisione delle misure a noi pervenute in maniera indiretta, tramite calcoli e non misurazioni dirette. Sicché </w:t>
      </w:r>
      <w:r w:rsidR="00120D11">
        <w:t>più calcoli vengono compiuti</w:t>
      </w:r>
      <w:r w:rsidR="00585CD6">
        <w:t xml:space="preserve"> più</w:t>
      </w:r>
      <w:r w:rsidR="00120D11">
        <w:t xml:space="preserve"> l’errore, propagandosi, rende insignificante la misura ottenuta dalle operazioni.</w:t>
      </w:r>
      <w:r w:rsidR="00852B31">
        <w:t xml:space="preserve"> Tale errore può essere ridotto, utilizzando strumenti di sensibilità maggiore, in quanto esso è di origine casuale. Tuttavia la presenza di errori è inevitabile, giacché gli errori sistematici impediscono l’annullamento delle possibilità di ottenere misure </w:t>
      </w:r>
      <w:r w:rsidR="002A732B">
        <w:t xml:space="preserve">prive di </w:t>
      </w:r>
      <w:r w:rsidR="00852B31">
        <w:t>errore. In caso di misure ripetute sarà possibile osservare, mediante la rappresentazione</w:t>
      </w:r>
      <w:r w:rsidR="002A732B">
        <w:t xml:space="preserve"> grafica della curva di </w:t>
      </w:r>
      <w:proofErr w:type="spellStart"/>
      <w:r w:rsidR="002A732B">
        <w:t>Gauβ</w:t>
      </w:r>
      <w:proofErr w:type="spellEnd"/>
      <w:r w:rsidR="002A732B">
        <w:t xml:space="preserve">, che le misura più probabile è quella più presente, ossia quella al culmine della curva, mentre i dati alla base del vettore sono dovuti alla distribuzione statistica dei dati. </w:t>
      </w:r>
      <w:r w:rsidR="002C52D1">
        <w:rPr>
          <w:noProof/>
        </w:rPr>
        <w:pict>
          <v:shapetype id="_x0000_t202" coordsize="21600,21600" o:spt="202" path="m,l,21600r21600,l21600,xe">
            <v:stroke joinstyle="miter"/>
            <v:path gradientshapeok="t" o:connecttype="rect"/>
          </v:shapetype>
          <v:shape id="_x0000_s1026" type="#_x0000_t202" style="position:absolute;left:0;text-align:left;margin-left:166.9pt;margin-top:250.45pt;width:315pt;height:.05pt;z-index:251660288;mso-position-horizontal-relative:text;mso-position-vertical-relative:text" stroked="f">
            <v:textbox style="mso-fit-shape-to-text:t" inset="0,0,0,0">
              <w:txbxContent>
                <w:p w:rsidR="007F1AA9" w:rsidRPr="00210BFC" w:rsidRDefault="007F1AA9" w:rsidP="00585CD6">
                  <w:pPr>
                    <w:pStyle w:val="Didascalia"/>
                  </w:pPr>
                  <w:r>
                    <w:t xml:space="preserve">Figura </w:t>
                  </w:r>
                  <w:fldSimple w:instr=" SEQ Figura \* ARABIC ">
                    <w:r w:rsidR="00B71A41">
                      <w:rPr>
                        <w:noProof/>
                      </w:rPr>
                      <w:t>1</w:t>
                    </w:r>
                  </w:fldSimple>
                  <w:r>
                    <w:t>: Curva gaussiana.</w:t>
                  </w:r>
                </w:p>
              </w:txbxContent>
            </v:textbox>
            <w10:wrap type="square"/>
          </v:shape>
        </w:pict>
      </w:r>
      <w:r w:rsidR="00585CD6">
        <w:rPr>
          <w:noProof/>
          <w:lang w:eastAsia="it-IT"/>
        </w:rPr>
        <w:drawing>
          <wp:anchor distT="0" distB="0" distL="114300" distR="114300" simplePos="0" relativeHeight="251658240" behindDoc="1" locked="0" layoutInCell="1" allowOverlap="1">
            <wp:simplePos x="742950" y="5505450"/>
            <wp:positionH relativeFrom="margin">
              <wp:align>right</wp:align>
            </wp:positionH>
            <wp:positionV relativeFrom="margin">
              <wp:align>center</wp:align>
            </wp:positionV>
            <wp:extent cx="4000500" cy="2362200"/>
            <wp:effectExtent l="19050" t="0" r="0" b="0"/>
            <wp:wrapSquare wrapText="bothSides"/>
            <wp:docPr id="1" name="Immagine 0" descr="EPSON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PSON001.JPG"/>
                    <pic:cNvPicPr/>
                  </pic:nvPicPr>
                  <pic:blipFill>
                    <a:blip r:embed="rId6" cstate="print"/>
                    <a:stretch>
                      <a:fillRect/>
                    </a:stretch>
                  </pic:blipFill>
                  <pic:spPr>
                    <a:xfrm>
                      <a:off x="0" y="0"/>
                      <a:ext cx="4000500" cy="2362200"/>
                    </a:xfrm>
                    <a:prstGeom prst="rect">
                      <a:avLst/>
                    </a:prstGeom>
                  </pic:spPr>
                </pic:pic>
              </a:graphicData>
            </a:graphic>
          </wp:anchor>
        </w:drawing>
      </w:r>
    </w:p>
    <w:p w:rsidR="004575A0" w:rsidRPr="0097445D" w:rsidRDefault="00C86353" w:rsidP="00AB6EB9">
      <w:pPr>
        <w:rPr>
          <w:rFonts w:eastAsiaTheme="minorEastAsia"/>
        </w:rPr>
      </w:pPr>
      <w:r>
        <w:t xml:space="preserve">Alla base dell’esperienza in laboratorio vi sono i calcoli tra grandezze con errore assoluto. Infatti la propagazione dell’errore è chiaramente visibile compiendo codesti calcoli. Le operazioni da noi trattate sono state le quattro principali sopra riportate. Esse si svolgono con due tipologie di procedure, la prima riguardante addizione e sottrazione, la seconda riguardante prodotto e rapporto. Nel primo caso il calcolo della misura avviene seguendo le regole alla base delle due operazioni, ma i relativi </w:t>
      </w:r>
      <w:proofErr w:type="spellStart"/>
      <w:r w:rsidR="003F3520">
        <w:t>εa</w:t>
      </w:r>
      <w:proofErr w:type="spellEnd"/>
      <w:r w:rsidR="004575A0">
        <w:t xml:space="preserve"> (errore </w:t>
      </w:r>
      <w:proofErr w:type="spellStart"/>
      <w:r w:rsidR="004575A0">
        <w:t>asssoluto</w:t>
      </w:r>
      <w:proofErr w:type="spellEnd"/>
      <w:r w:rsidR="004575A0">
        <w:t>)</w:t>
      </w:r>
      <w:r>
        <w:t xml:space="preserve"> vengono in ambedue i casi sommati. </w:t>
      </w:r>
      <w:r w:rsidR="004575A0">
        <w:t xml:space="preserve">Importante è assicurarsi che la somma o la differenza delle misure mantenga le medesime cifre significative della somma degli </w:t>
      </w:r>
      <w:proofErr w:type="spellStart"/>
      <w:r w:rsidR="003F3520">
        <w:t>εa</w:t>
      </w:r>
      <w:proofErr w:type="spellEnd"/>
      <w:r w:rsidR="004575A0">
        <w:t xml:space="preserve">. </w:t>
      </w:r>
      <w:r>
        <w:t xml:space="preserve">La formula generica è la seguente: </w:t>
      </w:r>
      <w:r w:rsidRPr="004575A0">
        <w:rPr>
          <w:i/>
        </w:rPr>
        <w:t>(</w:t>
      </w:r>
      <w:r w:rsidR="004575A0" w:rsidRPr="004575A0">
        <w:rPr>
          <w:i/>
        </w:rPr>
        <w:t>a,</w:t>
      </w:r>
      <w:proofErr w:type="spellStart"/>
      <w:r w:rsidR="004575A0" w:rsidRPr="004575A0">
        <w:rPr>
          <w:i/>
        </w:rPr>
        <w:t>aa</w:t>
      </w:r>
      <w:proofErr w:type="spellEnd"/>
      <w:r w:rsidRPr="004575A0">
        <w:rPr>
          <w:i/>
        </w:rPr>
        <w:t xml:space="preserve"> ± </w:t>
      </w:r>
      <w:r w:rsidR="004575A0" w:rsidRPr="004575A0">
        <w:rPr>
          <w:i/>
        </w:rPr>
        <w:t>x,</w:t>
      </w:r>
      <w:proofErr w:type="spellStart"/>
      <w:r w:rsidR="004575A0" w:rsidRPr="004575A0">
        <w:rPr>
          <w:i/>
        </w:rPr>
        <w:t>xx</w:t>
      </w:r>
      <w:proofErr w:type="spellEnd"/>
      <w:r w:rsidRPr="004575A0">
        <w:rPr>
          <w:i/>
        </w:rPr>
        <w:t>)cm +</w:t>
      </w:r>
      <w:r w:rsidR="004575A0">
        <w:rPr>
          <w:i/>
        </w:rPr>
        <w:t xml:space="preserve">o- </w:t>
      </w:r>
      <w:r w:rsidRPr="004575A0">
        <w:rPr>
          <w:i/>
        </w:rPr>
        <w:t xml:space="preserve"> (</w:t>
      </w:r>
      <w:r w:rsidR="004575A0" w:rsidRPr="004575A0">
        <w:rPr>
          <w:i/>
        </w:rPr>
        <w:t>b,</w:t>
      </w:r>
      <w:proofErr w:type="spellStart"/>
      <w:r w:rsidR="004575A0" w:rsidRPr="004575A0">
        <w:rPr>
          <w:i/>
        </w:rPr>
        <w:t>bb</w:t>
      </w:r>
      <w:proofErr w:type="spellEnd"/>
      <w:r w:rsidRPr="004575A0">
        <w:rPr>
          <w:i/>
        </w:rPr>
        <w:t xml:space="preserve"> ± </w:t>
      </w:r>
      <w:r w:rsidR="004575A0" w:rsidRPr="004575A0">
        <w:rPr>
          <w:i/>
        </w:rPr>
        <w:t>y,</w:t>
      </w:r>
      <w:proofErr w:type="spellStart"/>
      <w:r w:rsidR="004575A0" w:rsidRPr="004575A0">
        <w:rPr>
          <w:i/>
        </w:rPr>
        <w:t>yy</w:t>
      </w:r>
      <w:proofErr w:type="spellEnd"/>
      <w:r w:rsidRPr="004575A0">
        <w:rPr>
          <w:i/>
        </w:rPr>
        <w:t xml:space="preserve">)cm = </w:t>
      </w:r>
      <w:r w:rsidR="004575A0" w:rsidRPr="004575A0">
        <w:rPr>
          <w:i/>
        </w:rPr>
        <w:t>(a,</w:t>
      </w:r>
      <w:proofErr w:type="spellStart"/>
      <w:r w:rsidR="004575A0" w:rsidRPr="004575A0">
        <w:rPr>
          <w:i/>
        </w:rPr>
        <w:t>aa</w:t>
      </w:r>
      <w:proofErr w:type="spellEnd"/>
      <w:r w:rsidR="004575A0" w:rsidRPr="004575A0">
        <w:rPr>
          <w:i/>
        </w:rPr>
        <w:t xml:space="preserve"> +</w:t>
      </w:r>
      <w:r w:rsidR="004575A0">
        <w:rPr>
          <w:i/>
        </w:rPr>
        <w:t xml:space="preserve">o- </w:t>
      </w:r>
      <w:r w:rsidR="004575A0" w:rsidRPr="004575A0">
        <w:rPr>
          <w:i/>
        </w:rPr>
        <w:t xml:space="preserve"> b,</w:t>
      </w:r>
      <w:proofErr w:type="spellStart"/>
      <w:r w:rsidR="004575A0" w:rsidRPr="004575A0">
        <w:rPr>
          <w:i/>
        </w:rPr>
        <w:t>bb</w:t>
      </w:r>
      <w:proofErr w:type="spellEnd"/>
      <w:r w:rsidRPr="004575A0">
        <w:rPr>
          <w:i/>
        </w:rPr>
        <w:t xml:space="preserve"> ± </w:t>
      </w:r>
      <w:r w:rsidR="004575A0" w:rsidRPr="004575A0">
        <w:rPr>
          <w:i/>
        </w:rPr>
        <w:t>x,</w:t>
      </w:r>
      <w:proofErr w:type="spellStart"/>
      <w:r w:rsidR="004575A0" w:rsidRPr="004575A0">
        <w:rPr>
          <w:i/>
        </w:rPr>
        <w:t>xx</w:t>
      </w:r>
      <w:proofErr w:type="spellEnd"/>
      <w:r w:rsidR="004575A0" w:rsidRPr="004575A0">
        <w:rPr>
          <w:i/>
        </w:rPr>
        <w:t xml:space="preserve"> + </w:t>
      </w:r>
      <w:r w:rsidR="00B71A41">
        <w:rPr>
          <w:i/>
        </w:rPr>
        <w:t>y,</w:t>
      </w:r>
      <w:proofErr w:type="spellStart"/>
      <w:r w:rsidR="00B71A41">
        <w:rPr>
          <w:i/>
        </w:rPr>
        <w:t>yy</w:t>
      </w:r>
      <w:proofErr w:type="spellEnd"/>
      <w:r w:rsidR="004575A0" w:rsidRPr="004575A0">
        <w:rPr>
          <w:i/>
        </w:rPr>
        <w:t>)cm</w:t>
      </w:r>
      <w:r w:rsidR="00B71A41">
        <w:rPr>
          <w:i/>
        </w:rPr>
        <w:t xml:space="preserve"> </w:t>
      </w:r>
      <w:r w:rsidR="00B71A41">
        <w:t>, dove “a,</w:t>
      </w:r>
      <w:proofErr w:type="spellStart"/>
      <w:r w:rsidR="00B71A41">
        <w:t>aa</w:t>
      </w:r>
      <w:proofErr w:type="spellEnd"/>
      <w:r w:rsidR="00B71A41">
        <w:t>” e “b,</w:t>
      </w:r>
      <w:proofErr w:type="spellStart"/>
      <w:r w:rsidR="00B71A41">
        <w:t>bb</w:t>
      </w:r>
      <w:proofErr w:type="spellEnd"/>
      <w:r w:rsidR="00B71A41">
        <w:t>” corrispondono alle misure e “x,</w:t>
      </w:r>
      <w:proofErr w:type="spellStart"/>
      <w:r w:rsidR="00B71A41">
        <w:t>xx</w:t>
      </w:r>
      <w:proofErr w:type="spellEnd"/>
      <w:r w:rsidR="00B71A41">
        <w:t>” e “y,</w:t>
      </w:r>
      <w:proofErr w:type="spellStart"/>
      <w:r w:rsidR="00B71A41">
        <w:t>yy</w:t>
      </w:r>
      <w:proofErr w:type="spellEnd"/>
      <w:r w:rsidR="00B71A41">
        <w:t>” corrispondono ai relativi errori assoluti</w:t>
      </w:r>
      <w:r w:rsidR="004575A0">
        <w:t xml:space="preserve">. Nelle restanti due operazioni, prodotto e rapporto, le grandezze vengono calcolate seguendo le regole delle operazioni prese in esame, ma </w:t>
      </w:r>
      <w:proofErr w:type="spellStart"/>
      <w:r w:rsidR="003F3520">
        <w:t>εa</w:t>
      </w:r>
      <w:proofErr w:type="spellEnd"/>
      <w:r w:rsidR="004575A0">
        <w:t xml:space="preserve"> è dato dalla somma degli errori relativi dei termini dell’operazione moltiplicata per il prodotto o il rapporto delle misure prese in considerazione. La formula generica per il calcolo di  </w:t>
      </w:r>
      <w:proofErr w:type="spellStart"/>
      <w:r w:rsidR="003F3520">
        <w:t>εa</w:t>
      </w:r>
      <w:proofErr w:type="spellEnd"/>
      <w:r w:rsidR="004575A0">
        <w:t xml:space="preserve"> è la seguente: </w:t>
      </w:r>
      <m:oMath>
        <m:d>
          <m:dPr>
            <m:ctrlPr>
              <w:rPr>
                <w:rFonts w:ascii="Cambria Math" w:hAnsi="Cambria Math"/>
                <w:i/>
              </w:rPr>
            </m:ctrlPr>
          </m:dPr>
          <m:e>
            <m:f>
              <m:fPr>
                <m:ctrlPr>
                  <w:rPr>
                    <w:rFonts w:ascii="Cambria Math" w:hAnsi="Cambria Math"/>
                    <w:i/>
                  </w:rPr>
                </m:ctrlPr>
              </m:fPr>
              <m:num>
                <m:r>
                  <w:rPr>
                    <w:rFonts w:ascii="Cambria Math" w:hAnsi="Cambria Math"/>
                  </w:rPr>
                  <m:t>εr</m:t>
                </m:r>
                <m:d>
                  <m:dPr>
                    <m:ctrlPr>
                      <w:rPr>
                        <w:rFonts w:ascii="Cambria Math" w:hAnsi="Cambria Math"/>
                        <w:i/>
                      </w:rPr>
                    </m:ctrlPr>
                  </m:dPr>
                  <m:e>
                    <m:r>
                      <w:rPr>
                        <w:rFonts w:ascii="Cambria Math" w:hAnsi="Cambria Math"/>
                      </w:rPr>
                      <m:t>a</m:t>
                    </m:r>
                  </m:e>
                </m:d>
              </m:num>
              <m:den>
                <m:r>
                  <w:rPr>
                    <w:rFonts w:ascii="Cambria Math" w:hAnsi="Cambria Math"/>
                  </w:rPr>
                  <m:t>a</m:t>
                </m:r>
              </m:den>
            </m:f>
            <m:r>
              <w:rPr>
                <w:rFonts w:ascii="Cambria Math" w:hAnsi="Cambria Math"/>
              </w:rPr>
              <m:t xml:space="preserve">+ </m:t>
            </m:r>
            <m:f>
              <m:fPr>
                <m:ctrlPr>
                  <w:rPr>
                    <w:rFonts w:ascii="Cambria Math" w:hAnsi="Cambria Math"/>
                    <w:i/>
                  </w:rPr>
                </m:ctrlPr>
              </m:fPr>
              <m:num>
                <m:r>
                  <w:rPr>
                    <w:rFonts w:ascii="Cambria Math" w:hAnsi="Cambria Math"/>
                  </w:rPr>
                  <m:t>εr</m:t>
                </m:r>
                <m:d>
                  <m:dPr>
                    <m:ctrlPr>
                      <w:rPr>
                        <w:rFonts w:ascii="Cambria Math" w:hAnsi="Cambria Math"/>
                        <w:i/>
                      </w:rPr>
                    </m:ctrlPr>
                  </m:dPr>
                  <m:e>
                    <m:r>
                      <w:rPr>
                        <w:rFonts w:ascii="Cambria Math" w:hAnsi="Cambria Math"/>
                      </w:rPr>
                      <m:t>b</m:t>
                    </m:r>
                  </m:e>
                </m:d>
              </m:num>
              <m:den>
                <m:r>
                  <w:rPr>
                    <w:rFonts w:ascii="Cambria Math" w:hAnsi="Cambria Math"/>
                  </w:rPr>
                  <m:t>b</m:t>
                </m:r>
              </m:den>
            </m:f>
          </m:e>
        </m:d>
        <m:r>
          <w:rPr>
            <w:rFonts w:ascii="Cambria Math" w:hAnsi="Cambria Math"/>
          </w:rPr>
          <m:t xml:space="preserve"> ×ab oppure </m:t>
        </m:r>
        <m:f>
          <m:fPr>
            <m:ctrlPr>
              <w:rPr>
                <w:rFonts w:ascii="Cambria Math" w:hAnsi="Cambria Math"/>
                <w:i/>
              </w:rPr>
            </m:ctrlPr>
          </m:fPr>
          <m:num>
            <m:r>
              <w:rPr>
                <w:rFonts w:ascii="Cambria Math" w:hAnsi="Cambria Math"/>
              </w:rPr>
              <m:t>a</m:t>
            </m:r>
          </m:num>
          <m:den>
            <m:r>
              <w:rPr>
                <w:rFonts w:ascii="Cambria Math" w:hAnsi="Cambria Math"/>
              </w:rPr>
              <m:t>b</m:t>
            </m:r>
          </m:den>
        </m:f>
      </m:oMath>
      <w:r w:rsidR="003F3520" w:rsidRPr="00145FCE">
        <w:rPr>
          <w:rFonts w:eastAsiaTheme="minorEastAsia"/>
          <w:i/>
        </w:rPr>
        <w:t xml:space="preserve"> </w:t>
      </w:r>
      <w:r w:rsidR="003F3520">
        <w:rPr>
          <w:rFonts w:eastAsiaTheme="minorEastAsia"/>
        </w:rPr>
        <w:t xml:space="preserve">. Durante le nostre sperimentazioni tali formule sono risultate indispensabili per il calcolo </w:t>
      </w:r>
      <w:r w:rsidR="003F3520">
        <w:rPr>
          <w:rFonts w:eastAsiaTheme="minorEastAsia"/>
        </w:rPr>
        <w:lastRenderedPageBreak/>
        <w:t xml:space="preserve">della densità, anch’essa soggetta alla propagazione dell’errore. </w:t>
      </w:r>
      <w:r w:rsidR="00145FCE">
        <w:rPr>
          <w:rFonts w:eastAsiaTheme="minorEastAsia"/>
        </w:rPr>
        <w:t xml:space="preserve">Tale misura, indicata con la lettera greca delta minuscola </w:t>
      </w:r>
      <w:r w:rsidR="0097445D" w:rsidRPr="0097445D">
        <w:rPr>
          <w:rFonts w:eastAsiaTheme="minorEastAsia"/>
          <w:i/>
        </w:rPr>
        <w:t>δ</w:t>
      </w:r>
      <w:r w:rsidR="00145FCE">
        <w:rPr>
          <w:rFonts w:eastAsiaTheme="minorEastAsia"/>
        </w:rPr>
        <w:t xml:space="preserve"> appartiene alla tipologia delle misure indirette, in quanto essa è ottenuta dal rapporto </w:t>
      </w:r>
      <m:oMath>
        <m:f>
          <m:fPr>
            <m:ctrlPr>
              <w:rPr>
                <w:rFonts w:ascii="Cambria Math" w:eastAsiaTheme="minorEastAsia" w:hAnsi="Cambria Math"/>
                <w:i/>
              </w:rPr>
            </m:ctrlPr>
          </m:fPr>
          <m:num>
            <m:r>
              <w:rPr>
                <w:rFonts w:ascii="Cambria Math" w:eastAsiaTheme="minorEastAsia" w:hAnsi="Cambria Math"/>
              </w:rPr>
              <m:t xml:space="preserve">m </m:t>
            </m:r>
            <m:d>
              <m:dPr>
                <m:begChr m:val="["/>
                <m:endChr m:val="]"/>
                <m:ctrlPr>
                  <w:rPr>
                    <w:rFonts w:ascii="Cambria Math" w:eastAsiaTheme="minorEastAsia" w:hAnsi="Cambria Math"/>
                    <w:i/>
                  </w:rPr>
                </m:ctrlPr>
              </m:dPr>
              <m:e>
                <m:r>
                  <w:rPr>
                    <w:rFonts w:ascii="Cambria Math" w:eastAsiaTheme="minorEastAsia" w:hAnsi="Cambria Math"/>
                  </w:rPr>
                  <m:t>kg</m:t>
                </m:r>
              </m:e>
            </m:d>
          </m:num>
          <m:den>
            <m:r>
              <w:rPr>
                <w:rFonts w:ascii="Cambria Math" w:eastAsiaTheme="minorEastAsia" w:hAnsi="Cambria Math"/>
              </w:rPr>
              <m:t xml:space="preserve">V </m:t>
            </m:r>
            <m:d>
              <m:dPr>
                <m:begChr m:val="["/>
                <m:endChr m:val="]"/>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m</m:t>
                    </m:r>
                  </m:e>
                  <m:sup>
                    <m:r>
                      <w:rPr>
                        <w:rFonts w:ascii="Cambria Math" w:eastAsiaTheme="minorEastAsia" w:hAnsi="Cambria Math"/>
                      </w:rPr>
                      <m:t>3</m:t>
                    </m:r>
                  </m:sup>
                </m:sSup>
              </m:e>
            </m:d>
          </m:den>
        </m:f>
      </m:oMath>
      <w:r w:rsidR="00145FCE">
        <w:rPr>
          <w:rFonts w:eastAsiaTheme="minorEastAsia"/>
        </w:rPr>
        <w:t xml:space="preserve"> , ovvero massa fratto volume.</w:t>
      </w:r>
      <w:r w:rsidR="0097445D">
        <w:rPr>
          <w:rFonts w:eastAsiaTheme="minorEastAsia"/>
        </w:rPr>
        <w:t xml:space="preserve"> Tale rapporto restituirà una misura non omogenea in quanto kg e m</w:t>
      </w:r>
      <w:r w:rsidR="0097445D">
        <w:rPr>
          <w:rFonts w:eastAsiaTheme="minorEastAsia"/>
          <w:vertAlign w:val="superscript"/>
        </w:rPr>
        <w:t>3</w:t>
      </w:r>
      <w:r w:rsidR="0097445D">
        <w:rPr>
          <w:rFonts w:eastAsiaTheme="minorEastAsia"/>
        </w:rPr>
        <w:t xml:space="preserve"> sono due grandezze non commensurabili, ossia di tipologia diversa, kg è una misura di peso e m</w:t>
      </w:r>
      <w:r w:rsidR="0097445D">
        <w:rPr>
          <w:rFonts w:eastAsiaTheme="minorEastAsia"/>
          <w:vertAlign w:val="superscript"/>
        </w:rPr>
        <w:t>3</w:t>
      </w:r>
      <w:r w:rsidR="0097445D">
        <w:rPr>
          <w:rFonts w:eastAsiaTheme="minorEastAsia"/>
        </w:rPr>
        <w:t xml:space="preserve"> lo è di lunghezza.</w:t>
      </w:r>
      <w:r w:rsidR="00145FCE">
        <w:rPr>
          <w:rFonts w:eastAsiaTheme="minorEastAsia"/>
        </w:rPr>
        <w:t xml:space="preserve"> </w:t>
      </w:r>
      <w:r w:rsidR="0097445D">
        <w:rPr>
          <w:rFonts w:eastAsiaTheme="minorEastAsia"/>
        </w:rPr>
        <w:t xml:space="preserve">La formula generica per il calcolo di </w:t>
      </w:r>
      <w:r w:rsidR="0097445D" w:rsidRPr="0097445D">
        <w:rPr>
          <w:rFonts w:eastAsiaTheme="minorEastAsia"/>
          <w:i/>
        </w:rPr>
        <w:t>δ</w:t>
      </w:r>
      <w:r w:rsidR="0097445D">
        <w:rPr>
          <w:rFonts w:eastAsiaTheme="minorEastAsia"/>
        </w:rPr>
        <w:t xml:space="preserve"> è </w:t>
      </w:r>
      <m:oMath>
        <m:r>
          <w:rPr>
            <w:rFonts w:ascii="Cambria Math" w:eastAsiaTheme="minorEastAsia" w:hAnsi="Cambria Math"/>
          </w:rPr>
          <m:t>δ=</m:t>
        </m:r>
        <m:f>
          <m:fPr>
            <m:ctrlPr>
              <w:rPr>
                <w:rFonts w:ascii="Cambria Math" w:eastAsiaTheme="minorEastAsia" w:hAnsi="Cambria Math"/>
                <w:i/>
              </w:rPr>
            </m:ctrlPr>
          </m:fPr>
          <m:num>
            <m:r>
              <w:rPr>
                <w:rFonts w:ascii="Cambria Math" w:eastAsiaTheme="minorEastAsia" w:hAnsi="Cambria Math"/>
              </w:rPr>
              <m:t>m</m:t>
            </m:r>
          </m:num>
          <m:den>
            <m:r>
              <w:rPr>
                <w:rFonts w:ascii="Cambria Math" w:eastAsiaTheme="minorEastAsia" w:hAnsi="Cambria Math"/>
              </w:rPr>
              <m:t>V</m:t>
            </m:r>
          </m:den>
        </m:f>
        <m:r>
          <w:rPr>
            <w:rFonts w:ascii="Cambria Math" w:eastAsiaTheme="minorEastAsia" w:hAnsi="Cambria Math"/>
          </w:rPr>
          <m:t>=</m:t>
        </m:r>
        <m:d>
          <m:dPr>
            <m:ctrlPr>
              <w:rPr>
                <w:rFonts w:ascii="Cambria Math" w:eastAsiaTheme="minorEastAsia" w:hAnsi="Cambria Math"/>
                <w:i/>
              </w:rPr>
            </m:ctrlPr>
          </m:dPr>
          <m:e>
            <m:r>
              <w:rPr>
                <w:rFonts w:ascii="Cambria Math" w:eastAsiaTheme="minorEastAsia" w:hAnsi="Cambria Math"/>
              </w:rPr>
              <m:t>x,xx ±y,yy</m:t>
            </m:r>
          </m:e>
        </m:d>
        <m:f>
          <m:fPr>
            <m:type m:val="lin"/>
            <m:ctrlPr>
              <w:rPr>
                <w:rFonts w:ascii="Cambria Math" w:eastAsiaTheme="minorEastAsia" w:hAnsi="Cambria Math"/>
                <w:i/>
              </w:rPr>
            </m:ctrlPr>
          </m:fPr>
          <m:num>
            <m:r>
              <w:rPr>
                <w:rFonts w:ascii="Cambria Math" w:eastAsiaTheme="minorEastAsia" w:hAnsi="Cambria Math"/>
              </w:rPr>
              <m:t>g</m:t>
            </m:r>
          </m:num>
          <m:den>
            <m:sSup>
              <m:sSupPr>
                <m:ctrlPr>
                  <w:rPr>
                    <w:rFonts w:ascii="Cambria Math" w:eastAsiaTheme="minorEastAsia" w:hAnsi="Cambria Math"/>
                    <w:i/>
                  </w:rPr>
                </m:ctrlPr>
              </m:sSupPr>
              <m:e>
                <m:r>
                  <w:rPr>
                    <w:rFonts w:ascii="Cambria Math" w:eastAsiaTheme="minorEastAsia" w:hAnsi="Cambria Math"/>
                  </w:rPr>
                  <m:t>cm</m:t>
                </m:r>
              </m:e>
              <m:sup>
                <m:r>
                  <w:rPr>
                    <w:rFonts w:ascii="Cambria Math" w:eastAsiaTheme="minorEastAsia" w:hAnsi="Cambria Math"/>
                  </w:rPr>
                  <m:t>3</m:t>
                </m:r>
              </m:sup>
            </m:sSup>
          </m:den>
        </m:f>
        <m:r>
          <w:rPr>
            <w:rFonts w:ascii="Cambria Math" w:eastAsiaTheme="minorEastAsia" w:hAnsi="Cambria Math"/>
          </w:rPr>
          <m:t xml:space="preserve"> . </m:t>
        </m:r>
      </m:oMath>
      <w:r w:rsidR="001911E7">
        <w:rPr>
          <w:rFonts w:eastAsiaTheme="minorEastAsia"/>
        </w:rPr>
        <w:t>Da notare è che l’equivalenza delle due misure segue regole diverse da quelle dell’equivalenze tra due misure commensurabili, del medesimo tipo (peso, capacità, lunghezza, etc.). La misura di peso della massa deve anch’essa seguire lo spostamento della virgola dello stesso numero di posti pari a quelli della misura del volume. Sicché le principali misure adoperate nel rapporto sono kg/m</w:t>
      </w:r>
      <w:r w:rsidR="001911E7">
        <w:rPr>
          <w:rFonts w:eastAsiaTheme="minorEastAsia"/>
          <w:vertAlign w:val="superscript"/>
        </w:rPr>
        <w:t>3</w:t>
      </w:r>
      <w:r w:rsidR="001911E7">
        <w:rPr>
          <w:rFonts w:eastAsiaTheme="minorEastAsia"/>
        </w:rPr>
        <w:t xml:space="preserve"> o g/cm</w:t>
      </w:r>
      <w:r w:rsidR="00203E01">
        <w:rPr>
          <w:rFonts w:eastAsiaTheme="minorEastAsia"/>
          <w:vertAlign w:val="superscript"/>
        </w:rPr>
        <w:t>3</w:t>
      </w:r>
      <w:r w:rsidR="00203E01">
        <w:rPr>
          <w:rFonts w:eastAsiaTheme="minorEastAsia"/>
        </w:rPr>
        <w:t>.</w:t>
      </w:r>
      <w:r w:rsidR="001911E7">
        <w:rPr>
          <w:rFonts w:eastAsiaTheme="minorEastAsia"/>
        </w:rPr>
        <w:t xml:space="preserve"> </w:t>
      </w:r>
      <w:r w:rsidR="00145FCE">
        <w:rPr>
          <w:rFonts w:eastAsiaTheme="minorEastAsia"/>
        </w:rPr>
        <w:t xml:space="preserve">La massa dei solidi da noi presi in esame è stata misurata con una bilancia sensibile al centigrammo. Essa dimostra la sua effettiva sensibilità mostrando i cambiamenti di peso dovuti all’inclinarsi del pavimento sotto il peso umano. Tale bilancia, digitale, è provvista di un piatto </w:t>
      </w:r>
      <w:r w:rsidR="0038538C">
        <w:rPr>
          <w:rFonts w:eastAsiaTheme="minorEastAsia"/>
        </w:rPr>
        <w:t xml:space="preserve">di forma circolare in metallo dove viene appoggiato ciò che deve essere </w:t>
      </w:r>
      <w:proofErr w:type="spellStart"/>
      <w:r w:rsidR="0038538C">
        <w:rPr>
          <w:rFonts w:eastAsiaTheme="minorEastAsia"/>
        </w:rPr>
        <w:t>massato</w:t>
      </w:r>
      <w:proofErr w:type="spellEnd"/>
      <w:r w:rsidR="0038538C">
        <w:rPr>
          <w:rFonts w:eastAsiaTheme="minorEastAsia"/>
        </w:rPr>
        <w:t xml:space="preserve">, tale termine è specifico di tale argomento e sostituisce “pesato” in quanto più generico ed impreciso. I risultati appaiono sul display LCD dopo un breve periodo di </w:t>
      </w:r>
      <w:r w:rsidR="00932BBA">
        <w:rPr>
          <w:rFonts w:eastAsiaTheme="minorEastAsia"/>
        </w:rPr>
        <w:t xml:space="preserve">attesa, durante il quale la bilancia stabilizza la misura. Prima di effettuare una misura è necessario azzerare la bilancia premendo un pulsante, ma questa operazione va compiuta solo dopo aver rimosso qualunque cosa dal piatto. </w:t>
      </w:r>
      <w:r w:rsidR="002C52D1" w:rsidRPr="002C52D1">
        <w:rPr>
          <w:noProof/>
        </w:rPr>
        <w:pict>
          <v:shape id="_x0000_s1027" type="#_x0000_t202" style="position:absolute;left:0;text-align:left;margin-left:256.9pt;margin-top:174pt;width:225pt;height:.05pt;z-index:251663360;mso-position-horizontal-relative:text;mso-position-vertical-relative:text" stroked="f">
            <v:textbox style="mso-fit-shape-to-text:t" inset="0,0,0,0">
              <w:txbxContent>
                <w:p w:rsidR="007F1AA9" w:rsidRPr="00C83019" w:rsidRDefault="007F1AA9" w:rsidP="0097445D">
                  <w:pPr>
                    <w:pStyle w:val="Didascalia"/>
                  </w:pPr>
                  <w:r>
                    <w:t xml:space="preserve">Figura </w:t>
                  </w:r>
                  <w:fldSimple w:instr=" SEQ Figura \* ARABIC ">
                    <w:r w:rsidR="00B71A41">
                      <w:rPr>
                        <w:noProof/>
                      </w:rPr>
                      <w:t>2</w:t>
                    </w:r>
                  </w:fldSimple>
                  <w:r>
                    <w:t>: bilancia con sensibilità al centigrammo.</w:t>
                  </w:r>
                </w:p>
              </w:txbxContent>
            </v:textbox>
            <w10:wrap type="square"/>
          </v:shape>
        </w:pict>
      </w:r>
      <w:r w:rsidR="0097445D">
        <w:rPr>
          <w:noProof/>
          <w:lang w:eastAsia="it-IT"/>
        </w:rPr>
        <w:drawing>
          <wp:anchor distT="0" distB="0" distL="114300" distR="114300" simplePos="0" relativeHeight="251661312" behindDoc="0" locked="0" layoutInCell="1" allowOverlap="1">
            <wp:simplePos x="3362325" y="2362200"/>
            <wp:positionH relativeFrom="margin">
              <wp:align>right</wp:align>
            </wp:positionH>
            <wp:positionV relativeFrom="margin">
              <wp:align>top</wp:align>
            </wp:positionV>
            <wp:extent cx="2857500" cy="2152650"/>
            <wp:effectExtent l="19050" t="0" r="0" b="0"/>
            <wp:wrapSquare wrapText="bothSides"/>
            <wp:docPr id="2" name="Immagine 1" descr="http://www.abcbilance.it/image/journal/article?img_id=15931&amp;t=1234169244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bcbilance.it/image/journal/article?img_id=15931&amp;t=1234169244290"/>
                    <pic:cNvPicPr>
                      <a:picLocks noChangeAspect="1" noChangeArrowheads="1"/>
                    </pic:cNvPicPr>
                  </pic:nvPicPr>
                  <pic:blipFill>
                    <a:blip r:embed="rId7" cstate="print"/>
                    <a:srcRect/>
                    <a:stretch>
                      <a:fillRect/>
                    </a:stretch>
                  </pic:blipFill>
                  <pic:spPr bwMode="auto">
                    <a:xfrm>
                      <a:off x="0" y="0"/>
                      <a:ext cx="2857500" cy="2152650"/>
                    </a:xfrm>
                    <a:prstGeom prst="rect">
                      <a:avLst/>
                    </a:prstGeom>
                    <a:noFill/>
                    <a:ln w="9525">
                      <a:noFill/>
                      <a:miter lim="800000"/>
                      <a:headEnd/>
                      <a:tailEnd/>
                    </a:ln>
                  </pic:spPr>
                </pic:pic>
              </a:graphicData>
            </a:graphic>
          </wp:anchor>
        </w:drawing>
      </w:r>
    </w:p>
    <w:p w:rsidR="00932BBA" w:rsidRDefault="00932BBA" w:rsidP="00AB6EB9">
      <w:pPr>
        <w:rPr>
          <w:rFonts w:eastAsiaTheme="minorEastAsia"/>
        </w:rPr>
      </w:pPr>
      <w:r>
        <w:rPr>
          <w:rFonts w:eastAsiaTheme="minorEastAsia"/>
        </w:rPr>
        <w:t xml:space="preserve">Per effettuare il calcolo del volume </w:t>
      </w:r>
      <w:r w:rsidR="00913766">
        <w:rPr>
          <w:rFonts w:eastAsiaTheme="minorEastAsia"/>
        </w:rPr>
        <w:t>è stato necessario effettuare la misurazione</w:t>
      </w:r>
      <w:r>
        <w:rPr>
          <w:rFonts w:eastAsiaTheme="minorEastAsia"/>
        </w:rPr>
        <w:t xml:space="preserve"> delle dimensioni dei solidi da noi considerati (le quali nel corso di questa relazione verranno denominate </w:t>
      </w:r>
      <w:r w:rsidRPr="00932BBA">
        <w:rPr>
          <w:rFonts w:eastAsiaTheme="minorEastAsia"/>
          <w:i/>
        </w:rPr>
        <w:t>a, b, c</w:t>
      </w:r>
      <w:r>
        <w:rPr>
          <w:rFonts w:eastAsiaTheme="minorEastAsia"/>
        </w:rPr>
        <w:t>)</w:t>
      </w:r>
      <w:r w:rsidR="00913766">
        <w:rPr>
          <w:rFonts w:eastAsiaTheme="minorEastAsia"/>
        </w:rPr>
        <w:t>. Esse si dicono “in prima approssimazione” giacché corrispondono al</w:t>
      </w:r>
      <w:r w:rsidR="0097445D">
        <w:rPr>
          <w:rFonts w:eastAsiaTheme="minorEastAsia"/>
        </w:rPr>
        <w:t xml:space="preserve"> valore della misurazione diretta da noi effettuata.</w:t>
      </w:r>
    </w:p>
    <w:p w:rsidR="00CD36EA" w:rsidRPr="00CD36EA" w:rsidRDefault="00CD36EA" w:rsidP="00AB6EB9">
      <w:r>
        <w:t xml:space="preserve">Quando vengono riportate delle misure che corrispondono al medesimo tipo (es.: due misure di volume </w:t>
      </w:r>
      <w:r w:rsidRPr="00CD36EA">
        <w:rPr>
          <w:i/>
        </w:rPr>
        <w:t>V</w:t>
      </w:r>
      <w:r>
        <w:t>) esse assumono un numero a pedice della lettera generica che le identifica (es.: V</w:t>
      </w:r>
      <w:r w:rsidRPr="00CD36EA">
        <w:rPr>
          <w:vertAlign w:val="subscript"/>
        </w:rPr>
        <w:t>1</w:t>
      </w:r>
      <w:r>
        <w:t>, V</w:t>
      </w:r>
      <w:r w:rsidRPr="00CD36EA">
        <w:rPr>
          <w:vertAlign w:val="subscript"/>
        </w:rPr>
        <w:t>2</w:t>
      </w:r>
      <w:r>
        <w:t>). N.B.: è importante che la cifra identificativa di una misura sia scritta a pedice in quanto ad apice indicherebbe l’esponente al quale la grandezza corrispondente alla lettera generica viene elevata.</w:t>
      </w:r>
    </w:p>
    <w:p w:rsidR="00CD36EA" w:rsidRDefault="00CD36EA" w:rsidP="00CD36EA">
      <w:r>
        <w:t xml:space="preserve">Per effettuare le misure di grandezza sono stati da noi utilizzati il calibro ventesimale e il micrometro centesimale. </w:t>
      </w:r>
    </w:p>
    <w:p w:rsidR="00CD36EA" w:rsidRDefault="00CD36EA" w:rsidP="00AB6EB9"/>
    <w:p w:rsidR="00203E01" w:rsidRDefault="004979DF" w:rsidP="004979DF">
      <w:pPr>
        <w:jc w:val="center"/>
        <w:rPr>
          <w:i/>
        </w:rPr>
      </w:pPr>
      <w:r w:rsidRPr="004979DF">
        <w:rPr>
          <w:i/>
        </w:rPr>
        <w:t>Esecuzione dell’esperimento</w:t>
      </w:r>
    </w:p>
    <w:p w:rsidR="004979DF" w:rsidRDefault="004979DF" w:rsidP="004979DF">
      <w:pPr>
        <w:jc w:val="center"/>
        <w:rPr>
          <w:i/>
        </w:rPr>
      </w:pPr>
    </w:p>
    <w:p w:rsidR="00CD36EA" w:rsidRDefault="000E4D1F" w:rsidP="004979DF">
      <w:r>
        <w:t xml:space="preserve">L’esperimento si è svolto in tre fasi principali. </w:t>
      </w:r>
    </w:p>
    <w:p w:rsidR="00CD36EA" w:rsidRDefault="00CD36EA" w:rsidP="004979DF"/>
    <w:p w:rsidR="004979DF" w:rsidRDefault="000E4D1F" w:rsidP="004979DF">
      <w:r>
        <w:t>La prima riguarda la raccolta delle misure di lunghezza dei due solidi presi da noi in esame. I dati che i due strumenti hanno restituito sono qui sotto riportati.</w:t>
      </w:r>
    </w:p>
    <w:p w:rsidR="000E4D1F" w:rsidRDefault="000E4D1F" w:rsidP="004979DF"/>
    <w:tbl>
      <w:tblPr>
        <w:tblStyle w:val="Grigliatabella"/>
        <w:tblW w:w="9889" w:type="dxa"/>
        <w:tblLayout w:type="fixed"/>
        <w:tblLook w:val="04A0"/>
      </w:tblPr>
      <w:tblGrid>
        <w:gridCol w:w="1629"/>
        <w:gridCol w:w="1860"/>
        <w:gridCol w:w="1581"/>
        <w:gridCol w:w="1448"/>
        <w:gridCol w:w="1954"/>
        <w:gridCol w:w="1417"/>
      </w:tblGrid>
      <w:tr w:rsidR="000E4D1F" w:rsidTr="00FD2034">
        <w:tc>
          <w:tcPr>
            <w:tcW w:w="1629" w:type="dxa"/>
            <w:shd w:val="clear" w:color="auto" w:fill="F2F2F2" w:themeFill="background1" w:themeFillShade="F2"/>
          </w:tcPr>
          <w:p w:rsidR="000E4D1F" w:rsidRPr="000E4D1F" w:rsidRDefault="000E4D1F" w:rsidP="000E4D1F">
            <w:pPr>
              <w:jc w:val="center"/>
              <w:rPr>
                <w:b/>
              </w:rPr>
            </w:pPr>
            <w:r w:rsidRPr="000E4D1F">
              <w:rPr>
                <w:b/>
              </w:rPr>
              <w:t>DIMENSIONI DEL CUBO</w:t>
            </w:r>
          </w:p>
        </w:tc>
        <w:tc>
          <w:tcPr>
            <w:tcW w:w="1860" w:type="dxa"/>
            <w:shd w:val="clear" w:color="auto" w:fill="F2F2F2" w:themeFill="background1" w:themeFillShade="F2"/>
          </w:tcPr>
          <w:p w:rsidR="000E4D1F" w:rsidRPr="000E4D1F" w:rsidRDefault="000E4D1F" w:rsidP="000E4D1F">
            <w:pPr>
              <w:jc w:val="center"/>
              <w:rPr>
                <w:b/>
              </w:rPr>
            </w:pPr>
            <w:r w:rsidRPr="000E4D1F">
              <w:rPr>
                <w:b/>
              </w:rPr>
              <w:t xml:space="preserve">MISURE (con </w:t>
            </w:r>
            <w:proofErr w:type="spellStart"/>
            <w:r w:rsidRPr="000E4D1F">
              <w:rPr>
                <w:b/>
              </w:rPr>
              <w:t>εa</w:t>
            </w:r>
            <w:proofErr w:type="spellEnd"/>
            <w:r w:rsidRPr="000E4D1F">
              <w:rPr>
                <w:b/>
              </w:rPr>
              <w:t>)</w:t>
            </w:r>
          </w:p>
        </w:tc>
        <w:tc>
          <w:tcPr>
            <w:tcW w:w="1581" w:type="dxa"/>
            <w:shd w:val="clear" w:color="auto" w:fill="F2F2F2" w:themeFill="background1" w:themeFillShade="F2"/>
          </w:tcPr>
          <w:p w:rsidR="000E4D1F" w:rsidRPr="000E4D1F" w:rsidRDefault="007F1AA9" w:rsidP="000E4D1F">
            <w:pPr>
              <w:jc w:val="center"/>
              <w:rPr>
                <w:b/>
              </w:rPr>
            </w:pPr>
            <w:r>
              <w:rPr>
                <w:b/>
              </w:rPr>
              <w:t>VOLUME</w:t>
            </w:r>
          </w:p>
        </w:tc>
        <w:tc>
          <w:tcPr>
            <w:tcW w:w="1448" w:type="dxa"/>
            <w:shd w:val="clear" w:color="auto" w:fill="DAEEF3" w:themeFill="accent5" w:themeFillTint="33"/>
          </w:tcPr>
          <w:p w:rsidR="000E4D1F" w:rsidRPr="000E4D1F" w:rsidRDefault="000E4D1F" w:rsidP="000E4D1F">
            <w:pPr>
              <w:jc w:val="center"/>
              <w:rPr>
                <w:b/>
              </w:rPr>
            </w:pPr>
            <w:r w:rsidRPr="000E4D1F">
              <w:rPr>
                <w:b/>
              </w:rPr>
              <w:t>DIMENSIONI DELLA PIASTRINA</w:t>
            </w:r>
          </w:p>
        </w:tc>
        <w:tc>
          <w:tcPr>
            <w:tcW w:w="1954" w:type="dxa"/>
            <w:shd w:val="clear" w:color="auto" w:fill="DAEEF3" w:themeFill="accent5" w:themeFillTint="33"/>
          </w:tcPr>
          <w:p w:rsidR="000E4D1F" w:rsidRPr="000E4D1F" w:rsidRDefault="000E4D1F" w:rsidP="000E4D1F">
            <w:pPr>
              <w:jc w:val="center"/>
              <w:rPr>
                <w:b/>
              </w:rPr>
            </w:pPr>
            <w:r w:rsidRPr="000E4D1F">
              <w:rPr>
                <w:b/>
              </w:rPr>
              <w:t xml:space="preserve">MISURE (con </w:t>
            </w:r>
            <w:proofErr w:type="spellStart"/>
            <w:r w:rsidRPr="000E4D1F">
              <w:rPr>
                <w:b/>
              </w:rPr>
              <w:t>εa</w:t>
            </w:r>
            <w:proofErr w:type="spellEnd"/>
            <w:r w:rsidRPr="000E4D1F">
              <w:rPr>
                <w:b/>
              </w:rPr>
              <w:t>)</w:t>
            </w:r>
          </w:p>
        </w:tc>
        <w:tc>
          <w:tcPr>
            <w:tcW w:w="1417" w:type="dxa"/>
            <w:shd w:val="clear" w:color="auto" w:fill="DAEEF3" w:themeFill="accent5" w:themeFillTint="33"/>
          </w:tcPr>
          <w:p w:rsidR="000E4D1F" w:rsidRPr="000E4D1F" w:rsidRDefault="000E4D1F" w:rsidP="000E4D1F">
            <w:pPr>
              <w:jc w:val="center"/>
              <w:rPr>
                <w:b/>
              </w:rPr>
            </w:pPr>
            <w:r w:rsidRPr="000E4D1F">
              <w:rPr>
                <w:b/>
              </w:rPr>
              <w:t>STRUMENTO UTILIZZATO</w:t>
            </w:r>
          </w:p>
        </w:tc>
      </w:tr>
      <w:tr w:rsidR="007F1AA9" w:rsidTr="00FD2034">
        <w:tc>
          <w:tcPr>
            <w:tcW w:w="1629" w:type="dxa"/>
            <w:shd w:val="clear" w:color="auto" w:fill="F2F2F2" w:themeFill="background1" w:themeFillShade="F2"/>
          </w:tcPr>
          <w:p w:rsidR="007F1AA9" w:rsidRPr="000E4D1F" w:rsidRDefault="007F1AA9" w:rsidP="000E4D1F">
            <w:pPr>
              <w:jc w:val="center"/>
              <w:rPr>
                <w:i/>
              </w:rPr>
            </w:pPr>
            <w:r w:rsidRPr="000E4D1F">
              <w:rPr>
                <w:i/>
              </w:rPr>
              <w:t>a</w:t>
            </w:r>
          </w:p>
        </w:tc>
        <w:tc>
          <w:tcPr>
            <w:tcW w:w="1860" w:type="dxa"/>
            <w:shd w:val="clear" w:color="auto" w:fill="F2F2F2" w:themeFill="background1" w:themeFillShade="F2"/>
          </w:tcPr>
          <w:p w:rsidR="007F1AA9" w:rsidRPr="000E4D1F" w:rsidRDefault="007F1AA9" w:rsidP="000E4D1F">
            <w:pPr>
              <w:jc w:val="center"/>
            </w:pPr>
            <w:r>
              <w:t>(1,240 ± 0,001)cm</w:t>
            </w:r>
          </w:p>
        </w:tc>
        <w:tc>
          <w:tcPr>
            <w:tcW w:w="1581" w:type="dxa"/>
            <w:vMerge w:val="restart"/>
            <w:shd w:val="clear" w:color="auto" w:fill="F2F2F2" w:themeFill="background1" w:themeFillShade="F2"/>
          </w:tcPr>
          <w:p w:rsidR="007F1AA9" w:rsidRPr="00FD2034" w:rsidRDefault="00FD2034" w:rsidP="00FD2034">
            <w:pPr>
              <w:jc w:val="center"/>
              <w:rPr>
                <w:i/>
              </w:rPr>
            </w:pPr>
            <w:r>
              <w:rPr>
                <w:i/>
              </w:rPr>
              <w:t>(2,137 ±                                 0,005)cm</w:t>
            </w:r>
            <w:r>
              <w:rPr>
                <w:i/>
                <w:vertAlign w:val="superscript"/>
              </w:rPr>
              <w:t>3</w:t>
            </w:r>
          </w:p>
        </w:tc>
        <w:tc>
          <w:tcPr>
            <w:tcW w:w="1448" w:type="dxa"/>
            <w:shd w:val="clear" w:color="auto" w:fill="DAEEF3" w:themeFill="accent5" w:themeFillTint="33"/>
          </w:tcPr>
          <w:p w:rsidR="007F1AA9" w:rsidRPr="000E4D1F" w:rsidRDefault="007F1AA9" w:rsidP="000E4D1F">
            <w:pPr>
              <w:jc w:val="center"/>
              <w:rPr>
                <w:i/>
              </w:rPr>
            </w:pPr>
            <w:r w:rsidRPr="000E4D1F">
              <w:rPr>
                <w:i/>
              </w:rPr>
              <w:t>a</w:t>
            </w:r>
          </w:p>
        </w:tc>
        <w:tc>
          <w:tcPr>
            <w:tcW w:w="1954" w:type="dxa"/>
            <w:shd w:val="clear" w:color="auto" w:fill="DAEEF3" w:themeFill="accent5" w:themeFillTint="33"/>
          </w:tcPr>
          <w:p w:rsidR="007F1AA9" w:rsidRPr="000E4D1F" w:rsidRDefault="007F1AA9" w:rsidP="00BF716C">
            <w:pPr>
              <w:jc w:val="center"/>
            </w:pPr>
            <w:r>
              <w:t>(0,625 ± 0,001)cm</w:t>
            </w:r>
          </w:p>
        </w:tc>
        <w:tc>
          <w:tcPr>
            <w:tcW w:w="1417" w:type="dxa"/>
            <w:vMerge w:val="restart"/>
            <w:shd w:val="clear" w:color="auto" w:fill="DAEEF3" w:themeFill="accent5" w:themeFillTint="33"/>
          </w:tcPr>
          <w:p w:rsidR="007F1AA9" w:rsidRPr="000E4D1F" w:rsidRDefault="00A62FA0" w:rsidP="00A62FA0">
            <w:pPr>
              <w:jc w:val="center"/>
              <w:rPr>
                <w:i/>
              </w:rPr>
            </w:pPr>
            <w:r>
              <w:rPr>
                <w:i/>
              </w:rPr>
              <w:t>(</w:t>
            </w:r>
            <w:r w:rsidR="00FD2034">
              <w:rPr>
                <w:i/>
              </w:rPr>
              <w:t>12,049</w:t>
            </w:r>
            <w:r>
              <w:rPr>
                <w:i/>
              </w:rPr>
              <w:t xml:space="preserve"> ± 0,049)cm</w:t>
            </w:r>
            <w:r w:rsidRPr="00A62FA0">
              <w:rPr>
                <w:i/>
                <w:vertAlign w:val="superscript"/>
              </w:rPr>
              <w:t>3</w:t>
            </w:r>
          </w:p>
        </w:tc>
      </w:tr>
      <w:tr w:rsidR="007F1AA9" w:rsidTr="00FD2034">
        <w:tc>
          <w:tcPr>
            <w:tcW w:w="1629" w:type="dxa"/>
            <w:shd w:val="clear" w:color="auto" w:fill="F2F2F2" w:themeFill="background1" w:themeFillShade="F2"/>
          </w:tcPr>
          <w:p w:rsidR="007F1AA9" w:rsidRPr="000E4D1F" w:rsidRDefault="007F1AA9" w:rsidP="000E4D1F">
            <w:pPr>
              <w:jc w:val="center"/>
              <w:rPr>
                <w:i/>
              </w:rPr>
            </w:pPr>
            <w:r w:rsidRPr="000E4D1F">
              <w:rPr>
                <w:i/>
              </w:rPr>
              <w:t>b</w:t>
            </w:r>
          </w:p>
        </w:tc>
        <w:tc>
          <w:tcPr>
            <w:tcW w:w="1860" w:type="dxa"/>
            <w:shd w:val="clear" w:color="auto" w:fill="F2F2F2" w:themeFill="background1" w:themeFillShade="F2"/>
          </w:tcPr>
          <w:p w:rsidR="007F1AA9" w:rsidRPr="000E4D1F" w:rsidRDefault="007F1AA9" w:rsidP="00BF716C">
            <w:pPr>
              <w:jc w:val="center"/>
            </w:pPr>
            <w:r>
              <w:t>(1,240 ± 0,001)cm</w:t>
            </w:r>
          </w:p>
        </w:tc>
        <w:tc>
          <w:tcPr>
            <w:tcW w:w="1581" w:type="dxa"/>
            <w:vMerge/>
            <w:shd w:val="clear" w:color="auto" w:fill="F2F2F2" w:themeFill="background1" w:themeFillShade="F2"/>
          </w:tcPr>
          <w:p w:rsidR="007F1AA9" w:rsidRPr="000E4D1F" w:rsidRDefault="007F1AA9" w:rsidP="000E4D1F">
            <w:pPr>
              <w:jc w:val="center"/>
              <w:rPr>
                <w:i/>
              </w:rPr>
            </w:pPr>
          </w:p>
        </w:tc>
        <w:tc>
          <w:tcPr>
            <w:tcW w:w="1448" w:type="dxa"/>
            <w:shd w:val="clear" w:color="auto" w:fill="DAEEF3" w:themeFill="accent5" w:themeFillTint="33"/>
          </w:tcPr>
          <w:p w:rsidR="007F1AA9" w:rsidRPr="000E4D1F" w:rsidRDefault="007F1AA9" w:rsidP="000E4D1F">
            <w:pPr>
              <w:jc w:val="center"/>
              <w:rPr>
                <w:i/>
              </w:rPr>
            </w:pPr>
            <w:r w:rsidRPr="000E4D1F">
              <w:rPr>
                <w:i/>
              </w:rPr>
              <w:t>b</w:t>
            </w:r>
          </w:p>
        </w:tc>
        <w:tc>
          <w:tcPr>
            <w:tcW w:w="1954" w:type="dxa"/>
            <w:shd w:val="clear" w:color="auto" w:fill="DAEEF3" w:themeFill="accent5" w:themeFillTint="33"/>
          </w:tcPr>
          <w:p w:rsidR="007F1AA9" w:rsidRPr="000E4D1F" w:rsidRDefault="007F1AA9" w:rsidP="000E4D1F">
            <w:pPr>
              <w:jc w:val="center"/>
            </w:pPr>
            <w:r>
              <w:t>(2,545 ± 0,005)cm</w:t>
            </w:r>
          </w:p>
        </w:tc>
        <w:tc>
          <w:tcPr>
            <w:tcW w:w="1417" w:type="dxa"/>
            <w:vMerge/>
            <w:shd w:val="clear" w:color="auto" w:fill="DAEEF3" w:themeFill="accent5" w:themeFillTint="33"/>
          </w:tcPr>
          <w:p w:rsidR="007F1AA9" w:rsidRPr="000E4D1F" w:rsidRDefault="007F1AA9" w:rsidP="000E4D1F">
            <w:pPr>
              <w:jc w:val="center"/>
              <w:rPr>
                <w:i/>
              </w:rPr>
            </w:pPr>
          </w:p>
        </w:tc>
      </w:tr>
      <w:tr w:rsidR="007F1AA9" w:rsidTr="00FD2034">
        <w:tc>
          <w:tcPr>
            <w:tcW w:w="1629" w:type="dxa"/>
            <w:shd w:val="clear" w:color="auto" w:fill="F2F2F2" w:themeFill="background1" w:themeFillShade="F2"/>
          </w:tcPr>
          <w:p w:rsidR="007F1AA9" w:rsidRPr="000E4D1F" w:rsidRDefault="007F1AA9" w:rsidP="000E4D1F">
            <w:pPr>
              <w:jc w:val="center"/>
              <w:rPr>
                <w:i/>
              </w:rPr>
            </w:pPr>
            <w:r w:rsidRPr="000E4D1F">
              <w:rPr>
                <w:i/>
              </w:rPr>
              <w:t>c</w:t>
            </w:r>
          </w:p>
        </w:tc>
        <w:tc>
          <w:tcPr>
            <w:tcW w:w="1860" w:type="dxa"/>
            <w:shd w:val="clear" w:color="auto" w:fill="F2F2F2" w:themeFill="background1" w:themeFillShade="F2"/>
          </w:tcPr>
          <w:p w:rsidR="007F1AA9" w:rsidRPr="000E4D1F" w:rsidRDefault="007F1AA9" w:rsidP="000E4D1F">
            <w:pPr>
              <w:jc w:val="center"/>
            </w:pPr>
            <w:r>
              <w:t>(1,239 ± 0,001)cm</w:t>
            </w:r>
          </w:p>
        </w:tc>
        <w:tc>
          <w:tcPr>
            <w:tcW w:w="1581" w:type="dxa"/>
            <w:vMerge/>
            <w:shd w:val="clear" w:color="auto" w:fill="F2F2F2" w:themeFill="background1" w:themeFillShade="F2"/>
          </w:tcPr>
          <w:p w:rsidR="007F1AA9" w:rsidRPr="000E4D1F" w:rsidRDefault="007F1AA9" w:rsidP="000E4D1F">
            <w:pPr>
              <w:jc w:val="center"/>
              <w:rPr>
                <w:i/>
              </w:rPr>
            </w:pPr>
          </w:p>
        </w:tc>
        <w:tc>
          <w:tcPr>
            <w:tcW w:w="1448" w:type="dxa"/>
            <w:shd w:val="clear" w:color="auto" w:fill="DAEEF3" w:themeFill="accent5" w:themeFillTint="33"/>
          </w:tcPr>
          <w:p w:rsidR="007F1AA9" w:rsidRPr="000E4D1F" w:rsidRDefault="007F1AA9" w:rsidP="000E4D1F">
            <w:pPr>
              <w:jc w:val="center"/>
              <w:rPr>
                <w:i/>
              </w:rPr>
            </w:pPr>
            <w:r w:rsidRPr="000E4D1F">
              <w:rPr>
                <w:i/>
              </w:rPr>
              <w:t>c</w:t>
            </w:r>
          </w:p>
        </w:tc>
        <w:tc>
          <w:tcPr>
            <w:tcW w:w="1954" w:type="dxa"/>
            <w:shd w:val="clear" w:color="auto" w:fill="DAEEF3" w:themeFill="accent5" w:themeFillTint="33"/>
          </w:tcPr>
          <w:p w:rsidR="007F1AA9" w:rsidRPr="000E4D1F" w:rsidRDefault="007F1AA9" w:rsidP="000E4D1F">
            <w:pPr>
              <w:jc w:val="center"/>
            </w:pPr>
            <w:r>
              <w:t>(7,575 ± 0,005)cm</w:t>
            </w:r>
          </w:p>
        </w:tc>
        <w:tc>
          <w:tcPr>
            <w:tcW w:w="1417" w:type="dxa"/>
            <w:vMerge/>
            <w:shd w:val="clear" w:color="auto" w:fill="DAEEF3" w:themeFill="accent5" w:themeFillTint="33"/>
          </w:tcPr>
          <w:p w:rsidR="007F1AA9" w:rsidRPr="000E4D1F" w:rsidRDefault="007F1AA9" w:rsidP="000E4D1F">
            <w:pPr>
              <w:jc w:val="center"/>
              <w:rPr>
                <w:i/>
              </w:rPr>
            </w:pPr>
          </w:p>
        </w:tc>
      </w:tr>
    </w:tbl>
    <w:p w:rsidR="000E4D1F" w:rsidRDefault="000E4D1F" w:rsidP="004979DF"/>
    <w:p w:rsidR="007F1AA9" w:rsidRPr="00A62FA0" w:rsidRDefault="00A62FA0" w:rsidP="004979DF">
      <w:r>
        <w:t xml:space="preserve">I calcoli dei volumi dei solidi, con i relativi errori, sono stati realizzati seguendo le regole, citate nella parte teorica, riguardanti il prodotto di grandezze con errore. I dati essenziali per questo calcolo coincidono alle dimensioni direttamente misurate con i due strumenti. Nel caso della piastrina solo una misura è stata </w:t>
      </w:r>
      <w:r>
        <w:lastRenderedPageBreak/>
        <w:t xml:space="preserve">effettuata con micrometro centesimale, giacché le dimensioni </w:t>
      </w:r>
      <w:r>
        <w:rPr>
          <w:i/>
        </w:rPr>
        <w:t xml:space="preserve">b </w:t>
      </w:r>
      <w:r>
        <w:t xml:space="preserve">e </w:t>
      </w:r>
      <w:r>
        <w:rPr>
          <w:i/>
        </w:rPr>
        <w:t>c</w:t>
      </w:r>
      <w:r>
        <w:t xml:space="preserve"> sono maggiori della portata dello strumento.</w:t>
      </w:r>
    </w:p>
    <w:p w:rsidR="00A62FA0" w:rsidRDefault="00A62FA0" w:rsidP="004979DF"/>
    <w:p w:rsidR="00A62FA0" w:rsidRDefault="00A62FA0" w:rsidP="004979DF"/>
    <w:p w:rsidR="000E4D1F" w:rsidRDefault="00CD36EA" w:rsidP="004979DF">
      <w:r>
        <w:t>La seconda fase comprende tutto ciò che concerne la rilevazione della massa dei due solidi. I risultati sotto riportati sono stati ricavati dalla bilancia con sensibilità al centigrammo, sopra descritta.</w:t>
      </w:r>
    </w:p>
    <w:p w:rsidR="00CD36EA" w:rsidRDefault="00CD36EA" w:rsidP="004979DF"/>
    <w:tbl>
      <w:tblPr>
        <w:tblStyle w:val="Grigliatabella"/>
        <w:tblW w:w="0" w:type="auto"/>
        <w:tblLook w:val="04A0"/>
      </w:tblPr>
      <w:tblGrid>
        <w:gridCol w:w="4889"/>
        <w:gridCol w:w="4889"/>
      </w:tblGrid>
      <w:tr w:rsidR="00CD36EA" w:rsidTr="00CD36EA">
        <w:tc>
          <w:tcPr>
            <w:tcW w:w="4889" w:type="dxa"/>
            <w:shd w:val="clear" w:color="auto" w:fill="DAEEF3" w:themeFill="accent5" w:themeFillTint="33"/>
          </w:tcPr>
          <w:p w:rsidR="00CD36EA" w:rsidRPr="00CD36EA" w:rsidRDefault="00CD36EA" w:rsidP="00ED4CED">
            <w:pPr>
              <w:jc w:val="center"/>
              <w:rPr>
                <w:b/>
              </w:rPr>
            </w:pPr>
            <w:r>
              <w:rPr>
                <w:b/>
              </w:rPr>
              <w:t>SOLIDO</w:t>
            </w:r>
          </w:p>
        </w:tc>
        <w:tc>
          <w:tcPr>
            <w:tcW w:w="4889" w:type="dxa"/>
            <w:shd w:val="clear" w:color="auto" w:fill="F2F2F2" w:themeFill="background1" w:themeFillShade="F2"/>
          </w:tcPr>
          <w:p w:rsidR="00CD36EA" w:rsidRPr="00ED4CED" w:rsidRDefault="00A62FA0" w:rsidP="00ED4CED">
            <w:pPr>
              <w:jc w:val="center"/>
              <w:rPr>
                <w:b/>
              </w:rPr>
            </w:pPr>
            <w:r>
              <w:rPr>
                <w:b/>
              </w:rPr>
              <w:t>MASSA</w:t>
            </w:r>
          </w:p>
        </w:tc>
      </w:tr>
      <w:tr w:rsidR="00CD36EA" w:rsidTr="00CD36EA">
        <w:tc>
          <w:tcPr>
            <w:tcW w:w="4889" w:type="dxa"/>
            <w:shd w:val="clear" w:color="auto" w:fill="DAEEF3" w:themeFill="accent5" w:themeFillTint="33"/>
          </w:tcPr>
          <w:p w:rsidR="00CD36EA" w:rsidRPr="00ED4CED" w:rsidRDefault="00ED4CED" w:rsidP="00ED4CED">
            <w:pPr>
              <w:jc w:val="center"/>
              <w:rPr>
                <w:i/>
              </w:rPr>
            </w:pPr>
            <w:r>
              <w:rPr>
                <w:i/>
              </w:rPr>
              <w:t>Cubo</w:t>
            </w:r>
          </w:p>
        </w:tc>
        <w:tc>
          <w:tcPr>
            <w:tcW w:w="4889" w:type="dxa"/>
            <w:shd w:val="clear" w:color="auto" w:fill="F2F2F2" w:themeFill="background1" w:themeFillShade="F2"/>
          </w:tcPr>
          <w:p w:rsidR="00CD36EA" w:rsidRPr="00ED4CED" w:rsidRDefault="00ED4CED" w:rsidP="00ED4CED">
            <w:pPr>
              <w:jc w:val="center"/>
              <w:rPr>
                <w:i/>
              </w:rPr>
            </w:pPr>
            <w:r>
              <w:rPr>
                <w:i/>
              </w:rPr>
              <w:t>(5,21 ± 0,01)g</w:t>
            </w:r>
          </w:p>
        </w:tc>
      </w:tr>
      <w:tr w:rsidR="00CD36EA" w:rsidTr="00CD36EA">
        <w:tc>
          <w:tcPr>
            <w:tcW w:w="4889" w:type="dxa"/>
            <w:shd w:val="clear" w:color="auto" w:fill="DAEEF3" w:themeFill="accent5" w:themeFillTint="33"/>
          </w:tcPr>
          <w:p w:rsidR="00CD36EA" w:rsidRPr="00ED4CED" w:rsidRDefault="00ED4CED" w:rsidP="00ED4CED">
            <w:pPr>
              <w:jc w:val="center"/>
              <w:rPr>
                <w:i/>
              </w:rPr>
            </w:pPr>
            <w:r>
              <w:rPr>
                <w:i/>
              </w:rPr>
              <w:t>Piastrina</w:t>
            </w:r>
          </w:p>
        </w:tc>
        <w:tc>
          <w:tcPr>
            <w:tcW w:w="4889" w:type="dxa"/>
            <w:shd w:val="clear" w:color="auto" w:fill="F2F2F2" w:themeFill="background1" w:themeFillShade="F2"/>
          </w:tcPr>
          <w:p w:rsidR="00CD36EA" w:rsidRPr="00ED4CED" w:rsidRDefault="00ED4CED" w:rsidP="00ED4CED">
            <w:pPr>
              <w:jc w:val="center"/>
              <w:rPr>
                <w:i/>
              </w:rPr>
            </w:pPr>
            <w:r>
              <w:rPr>
                <w:i/>
              </w:rPr>
              <w:t>(32,56 ± 0,01)g</w:t>
            </w:r>
          </w:p>
        </w:tc>
      </w:tr>
    </w:tbl>
    <w:p w:rsidR="00CD36EA" w:rsidRDefault="00CD36EA" w:rsidP="004979DF"/>
    <w:p w:rsidR="00CD36EA" w:rsidRDefault="00ED4CED" w:rsidP="004979DF">
      <w:r>
        <w:t>La terza e ultima fase del nostro esp</w:t>
      </w:r>
      <w:r w:rsidR="007F1AA9">
        <w:t xml:space="preserve">erimento riguarda il calcolo del rapporto tra massa (m) e volume (V), ovvero la densità (δ). </w:t>
      </w:r>
    </w:p>
    <w:p w:rsidR="007F1AA9" w:rsidRDefault="007F1AA9" w:rsidP="004979DF"/>
    <w:tbl>
      <w:tblPr>
        <w:tblStyle w:val="Grigliatabella"/>
        <w:tblW w:w="0" w:type="auto"/>
        <w:tblLook w:val="04A0"/>
      </w:tblPr>
      <w:tblGrid>
        <w:gridCol w:w="2444"/>
        <w:gridCol w:w="2444"/>
        <w:gridCol w:w="2444"/>
        <w:gridCol w:w="2445"/>
      </w:tblGrid>
      <w:tr w:rsidR="00A62FA0" w:rsidTr="007D018D">
        <w:tc>
          <w:tcPr>
            <w:tcW w:w="2444" w:type="dxa"/>
            <w:shd w:val="clear" w:color="auto" w:fill="F2F2F2" w:themeFill="background1" w:themeFillShade="F2"/>
          </w:tcPr>
          <w:p w:rsidR="00A62FA0" w:rsidRPr="00A62FA0" w:rsidRDefault="00A62FA0" w:rsidP="004979DF">
            <w:pPr>
              <w:rPr>
                <w:b/>
              </w:rPr>
            </w:pPr>
            <w:r w:rsidRPr="00A62FA0">
              <w:rPr>
                <w:b/>
              </w:rPr>
              <w:t>SOLIDO</w:t>
            </w:r>
          </w:p>
        </w:tc>
        <w:tc>
          <w:tcPr>
            <w:tcW w:w="2444" w:type="dxa"/>
          </w:tcPr>
          <w:p w:rsidR="00A62FA0" w:rsidRPr="00A62FA0" w:rsidRDefault="00A62FA0" w:rsidP="007F479C">
            <w:pPr>
              <w:rPr>
                <w:b/>
              </w:rPr>
            </w:pPr>
            <w:r w:rsidRPr="00A62FA0">
              <w:rPr>
                <w:b/>
              </w:rPr>
              <w:t>MASSA</w:t>
            </w:r>
          </w:p>
        </w:tc>
        <w:tc>
          <w:tcPr>
            <w:tcW w:w="2444" w:type="dxa"/>
            <w:shd w:val="clear" w:color="auto" w:fill="F2F2F2" w:themeFill="background1" w:themeFillShade="F2"/>
          </w:tcPr>
          <w:p w:rsidR="00A62FA0" w:rsidRPr="00A62FA0" w:rsidRDefault="00A62FA0" w:rsidP="004979DF">
            <w:pPr>
              <w:rPr>
                <w:b/>
              </w:rPr>
            </w:pPr>
            <w:r w:rsidRPr="00A62FA0">
              <w:rPr>
                <w:b/>
              </w:rPr>
              <w:t xml:space="preserve">VOLUME </w:t>
            </w:r>
          </w:p>
        </w:tc>
        <w:tc>
          <w:tcPr>
            <w:tcW w:w="2445" w:type="dxa"/>
          </w:tcPr>
          <w:p w:rsidR="00A62FA0" w:rsidRPr="00A62FA0" w:rsidRDefault="00A62FA0" w:rsidP="00A62FA0">
            <w:pPr>
              <w:rPr>
                <w:b/>
              </w:rPr>
            </w:pPr>
            <w:r w:rsidRPr="00A62FA0">
              <w:rPr>
                <w:b/>
              </w:rPr>
              <w:t>DENSITÀ</w:t>
            </w:r>
            <w:r>
              <w:rPr>
                <w:b/>
              </w:rPr>
              <w:t xml:space="preserve"> </w:t>
            </w:r>
            <m:oMath>
              <m:d>
                <m:dPr>
                  <m:ctrlPr>
                    <w:rPr>
                      <w:rFonts w:ascii="Cambria Math" w:hAnsi="Cambria Math"/>
                      <w:b/>
                      <w:i/>
                    </w:rPr>
                  </m:ctrlPr>
                </m:dPr>
                <m:e>
                  <m:r>
                    <m:rPr>
                      <m:sty m:val="bi"/>
                    </m:rPr>
                    <w:rPr>
                      <w:rFonts w:ascii="Cambria Math" w:hAnsi="Cambria Math"/>
                    </w:rPr>
                    <m:t>δ=</m:t>
                  </m:r>
                  <m:f>
                    <m:fPr>
                      <m:ctrlPr>
                        <w:rPr>
                          <w:rFonts w:ascii="Cambria Math" w:hAnsi="Cambria Math"/>
                          <w:b/>
                          <w:i/>
                        </w:rPr>
                      </m:ctrlPr>
                    </m:fPr>
                    <m:num>
                      <m:r>
                        <m:rPr>
                          <m:sty m:val="bi"/>
                        </m:rPr>
                        <w:rPr>
                          <w:rFonts w:ascii="Cambria Math" w:hAnsi="Cambria Math"/>
                        </w:rPr>
                        <m:t>m</m:t>
                      </m:r>
                    </m:num>
                    <m:den>
                      <m:r>
                        <m:rPr>
                          <m:sty m:val="bi"/>
                        </m:rPr>
                        <w:rPr>
                          <w:rFonts w:ascii="Cambria Math" w:hAnsi="Cambria Math"/>
                        </w:rPr>
                        <m:t>V</m:t>
                      </m:r>
                    </m:den>
                  </m:f>
                </m:e>
              </m:d>
            </m:oMath>
          </w:p>
        </w:tc>
      </w:tr>
      <w:tr w:rsidR="00A62FA0" w:rsidTr="007D018D">
        <w:trPr>
          <w:trHeight w:val="290"/>
        </w:trPr>
        <w:tc>
          <w:tcPr>
            <w:tcW w:w="2444" w:type="dxa"/>
            <w:shd w:val="clear" w:color="auto" w:fill="F2F2F2" w:themeFill="background1" w:themeFillShade="F2"/>
          </w:tcPr>
          <w:p w:rsidR="00A62FA0" w:rsidRPr="00A62FA0" w:rsidRDefault="00A62FA0" w:rsidP="007D018D">
            <w:pPr>
              <w:jc w:val="center"/>
              <w:rPr>
                <w:i/>
              </w:rPr>
            </w:pPr>
            <w:r w:rsidRPr="00A62FA0">
              <w:rPr>
                <w:i/>
              </w:rPr>
              <w:t>Cubo</w:t>
            </w:r>
          </w:p>
        </w:tc>
        <w:tc>
          <w:tcPr>
            <w:tcW w:w="2444" w:type="dxa"/>
          </w:tcPr>
          <w:p w:rsidR="00A62FA0" w:rsidRPr="00A62FA0" w:rsidRDefault="00A62FA0" w:rsidP="007F479C">
            <w:pPr>
              <w:rPr>
                <w:i/>
              </w:rPr>
            </w:pPr>
            <w:r w:rsidRPr="00A62FA0">
              <w:rPr>
                <w:i/>
              </w:rPr>
              <w:t>(5,21 ± 0,01)g</w:t>
            </w:r>
          </w:p>
        </w:tc>
        <w:tc>
          <w:tcPr>
            <w:tcW w:w="2444" w:type="dxa"/>
            <w:shd w:val="clear" w:color="auto" w:fill="F2F2F2" w:themeFill="background1" w:themeFillShade="F2"/>
          </w:tcPr>
          <w:p w:rsidR="00A62FA0" w:rsidRPr="00A62FA0" w:rsidRDefault="00A62FA0" w:rsidP="00A62FA0">
            <w:pPr>
              <w:jc w:val="center"/>
              <w:rPr>
                <w:i/>
              </w:rPr>
            </w:pPr>
            <w:r w:rsidRPr="00A62FA0">
              <w:rPr>
                <w:i/>
              </w:rPr>
              <w:t>(2,137 ±                                 0,005)cm</w:t>
            </w:r>
            <w:r w:rsidRPr="00A62FA0">
              <w:rPr>
                <w:i/>
                <w:vertAlign w:val="superscript"/>
              </w:rPr>
              <w:t>3</w:t>
            </w:r>
          </w:p>
        </w:tc>
        <w:tc>
          <w:tcPr>
            <w:tcW w:w="2445" w:type="dxa"/>
          </w:tcPr>
          <w:p w:rsidR="00A62FA0" w:rsidRPr="007D018D" w:rsidRDefault="007D018D" w:rsidP="004979DF">
            <w:pPr>
              <w:rPr>
                <w:i/>
              </w:rPr>
            </w:pPr>
            <w:r>
              <w:rPr>
                <w:i/>
              </w:rPr>
              <w:t>(2,438 ± 0,009)g/cm</w:t>
            </w:r>
            <w:r>
              <w:rPr>
                <w:i/>
                <w:vertAlign w:val="superscript"/>
              </w:rPr>
              <w:t>3</w:t>
            </w:r>
          </w:p>
        </w:tc>
      </w:tr>
      <w:tr w:rsidR="007D018D" w:rsidTr="007D018D">
        <w:tc>
          <w:tcPr>
            <w:tcW w:w="2444" w:type="dxa"/>
            <w:shd w:val="clear" w:color="auto" w:fill="F2F2F2" w:themeFill="background1" w:themeFillShade="F2"/>
          </w:tcPr>
          <w:p w:rsidR="007D018D" w:rsidRPr="00A62FA0" w:rsidRDefault="007D018D" w:rsidP="007D018D">
            <w:pPr>
              <w:jc w:val="center"/>
              <w:rPr>
                <w:i/>
              </w:rPr>
            </w:pPr>
            <w:r>
              <w:rPr>
                <w:i/>
              </w:rPr>
              <w:t>Piastrina</w:t>
            </w:r>
          </w:p>
        </w:tc>
        <w:tc>
          <w:tcPr>
            <w:tcW w:w="2444" w:type="dxa"/>
          </w:tcPr>
          <w:p w:rsidR="007D018D" w:rsidRPr="00ED4CED" w:rsidRDefault="007D018D" w:rsidP="007D2685">
            <w:pPr>
              <w:jc w:val="center"/>
              <w:rPr>
                <w:i/>
              </w:rPr>
            </w:pPr>
            <w:r>
              <w:rPr>
                <w:i/>
              </w:rPr>
              <w:t>(32,56 ± 0,01)g</w:t>
            </w:r>
          </w:p>
        </w:tc>
        <w:tc>
          <w:tcPr>
            <w:tcW w:w="2444" w:type="dxa"/>
            <w:shd w:val="clear" w:color="auto" w:fill="F2F2F2" w:themeFill="background1" w:themeFillShade="F2"/>
          </w:tcPr>
          <w:p w:rsidR="007D018D" w:rsidRPr="000E4D1F" w:rsidRDefault="007D018D" w:rsidP="007D2685">
            <w:pPr>
              <w:jc w:val="center"/>
              <w:rPr>
                <w:i/>
              </w:rPr>
            </w:pPr>
            <w:r>
              <w:rPr>
                <w:i/>
              </w:rPr>
              <w:t>(12,049 ± 0,049)cm</w:t>
            </w:r>
            <w:r w:rsidRPr="00A62FA0">
              <w:rPr>
                <w:i/>
                <w:vertAlign w:val="superscript"/>
              </w:rPr>
              <w:t>3</w:t>
            </w:r>
          </w:p>
        </w:tc>
        <w:tc>
          <w:tcPr>
            <w:tcW w:w="2445" w:type="dxa"/>
          </w:tcPr>
          <w:p w:rsidR="007D018D" w:rsidRPr="00A62FA0" w:rsidRDefault="007D018D" w:rsidP="004979DF">
            <w:pPr>
              <w:rPr>
                <w:i/>
              </w:rPr>
            </w:pPr>
            <w:r>
              <w:rPr>
                <w:i/>
              </w:rPr>
              <w:t>(</w:t>
            </w:r>
            <w:r w:rsidR="00F73196">
              <w:rPr>
                <w:i/>
              </w:rPr>
              <w:t>2,702 ± 0,012)g/cm</w:t>
            </w:r>
            <w:r w:rsidR="00F73196" w:rsidRPr="00F73196">
              <w:rPr>
                <w:i/>
                <w:vertAlign w:val="superscript"/>
              </w:rPr>
              <w:t>3</w:t>
            </w:r>
          </w:p>
        </w:tc>
      </w:tr>
    </w:tbl>
    <w:p w:rsidR="007F1AA9" w:rsidRDefault="007F1AA9" w:rsidP="004979DF"/>
    <w:p w:rsidR="00F73196" w:rsidRDefault="00F73196" w:rsidP="004979DF">
      <w:r>
        <w:t xml:space="preserve">I calcoli della densità dei due solidi rispettano le regole, enunciate nella premessa teorica, del rapporto tra grandezze affette da errore. </w:t>
      </w:r>
    </w:p>
    <w:p w:rsidR="00F73196" w:rsidRDefault="00F73196" w:rsidP="004979DF"/>
    <w:p w:rsidR="00F73196" w:rsidRDefault="00F73196" w:rsidP="00F73196">
      <w:pPr>
        <w:jc w:val="center"/>
        <w:rPr>
          <w:i/>
        </w:rPr>
      </w:pPr>
      <w:r w:rsidRPr="00F73196">
        <w:rPr>
          <w:i/>
        </w:rPr>
        <w:t>Conclusione</w:t>
      </w:r>
    </w:p>
    <w:p w:rsidR="00F73196" w:rsidRDefault="00F73196" w:rsidP="00F73196">
      <w:pPr>
        <w:jc w:val="center"/>
        <w:rPr>
          <w:i/>
        </w:rPr>
      </w:pPr>
    </w:p>
    <w:p w:rsidR="00F73196" w:rsidRPr="00F73196" w:rsidRDefault="00F73196" w:rsidP="00F73196">
      <w:r>
        <w:t xml:space="preserve">Osservando i dati sopra riportati possiamo verificare che gli errori si propagano. Infatti, benché le misure iniziali avessero </w:t>
      </w:r>
      <w:r w:rsidR="00C4488A">
        <w:t xml:space="preserve">un </w:t>
      </w:r>
      <w:proofErr w:type="spellStart"/>
      <w:r w:rsidR="00C4488A">
        <w:t>εa</w:t>
      </w:r>
      <w:proofErr w:type="spellEnd"/>
      <w:r w:rsidR="00C4488A">
        <w:t xml:space="preserve"> pari a 0,001 o 0,005 le densità dei due solidi presentano </w:t>
      </w:r>
      <w:proofErr w:type="spellStart"/>
      <w:r w:rsidR="00C4488A">
        <w:t>εa</w:t>
      </w:r>
      <w:proofErr w:type="spellEnd"/>
      <w:r w:rsidR="00C4488A">
        <w:t xml:space="preserve"> palesemente maggiori di quelli iniziali. Per tanto, durante questa esperienza abbiamo dimostrato che gli errori si propagano compiendo calcoli tra grandezze affette da errori, sicché nessuna misura che ci viene fornita può vantare una precisione assoluta. Spesso se una misura è derivata da più calcoli, essa potrebbe essere affetta da un </w:t>
      </w:r>
      <w:proofErr w:type="spellStart"/>
      <w:r w:rsidR="00C4488A">
        <w:t>εa</w:t>
      </w:r>
      <w:proofErr w:type="spellEnd"/>
      <w:r w:rsidR="00C4488A">
        <w:t xml:space="preserve"> maggiore della misura, rendendo la stessa priva di significato, giacché troppo imprecisa. Inoltre queste affermazioni sono applicabili ad ogni sorta di calcolo, nel nostro caso questi principi sono stati applicati alla densità, in quanto misura indiretta, derivata da più passaggi, che hanno contribuito alla propagazione dell’errore.</w:t>
      </w:r>
    </w:p>
    <w:sectPr w:rsidR="00F73196" w:rsidRPr="00F73196" w:rsidSect="00AB6EB9">
      <w:headerReference w:type="default" r:id="rId8"/>
      <w:footerReference w:type="default" r:id="rId9"/>
      <w:pgSz w:w="11906" w:h="16838"/>
      <w:pgMar w:top="1418"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2D01" w:rsidRDefault="00582D01" w:rsidP="00AB6EB9">
      <w:r>
        <w:separator/>
      </w:r>
    </w:p>
  </w:endnote>
  <w:endnote w:type="continuationSeparator" w:id="0">
    <w:p w:rsidR="00582D01" w:rsidRDefault="00582D01" w:rsidP="00AB6EB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7013"/>
      <w:docPartObj>
        <w:docPartGallery w:val="Page Numbers (Bottom of Page)"/>
        <w:docPartUnique/>
      </w:docPartObj>
    </w:sdtPr>
    <w:sdtContent>
      <w:p w:rsidR="007F1AA9" w:rsidRDefault="002C52D1">
        <w:pPr>
          <w:pStyle w:val="Pidipagina"/>
          <w:jc w:val="center"/>
        </w:pPr>
        <w:fldSimple w:instr=" PAGE   \* MERGEFORMAT ">
          <w:r w:rsidR="00B71A41">
            <w:rPr>
              <w:noProof/>
            </w:rPr>
            <w:t>1</w:t>
          </w:r>
        </w:fldSimple>
      </w:p>
    </w:sdtContent>
  </w:sdt>
  <w:p w:rsidR="007F1AA9" w:rsidRDefault="007F1AA9">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2D01" w:rsidRDefault="00582D01" w:rsidP="00AB6EB9">
      <w:r>
        <w:separator/>
      </w:r>
    </w:p>
  </w:footnote>
  <w:footnote w:type="continuationSeparator" w:id="0">
    <w:p w:rsidR="00582D01" w:rsidRDefault="00582D01" w:rsidP="00AB6EB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1AA9" w:rsidRDefault="007F1AA9">
    <w:pPr>
      <w:pStyle w:val="Intestazione"/>
    </w:pPr>
    <w:r>
      <w:t>Gabriele Bof</w:t>
    </w:r>
    <w:r>
      <w:tab/>
      <w:t>IG</w:t>
    </w:r>
    <w:r>
      <w:tab/>
      <w:t xml:space="preserve">17/10/2011 – 19/10/2011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footnotePr>
    <w:footnote w:id="-1"/>
    <w:footnote w:id="0"/>
  </w:footnotePr>
  <w:endnotePr>
    <w:endnote w:id="-1"/>
    <w:endnote w:id="0"/>
  </w:endnotePr>
  <w:compat/>
  <w:rsids>
    <w:rsidRoot w:val="00AB6EB9"/>
    <w:rsid w:val="000E4D1F"/>
    <w:rsid w:val="00120D11"/>
    <w:rsid w:val="00145FCE"/>
    <w:rsid w:val="001911E7"/>
    <w:rsid w:val="00203E01"/>
    <w:rsid w:val="00290416"/>
    <w:rsid w:val="002A732B"/>
    <w:rsid w:val="002C52D1"/>
    <w:rsid w:val="0038538C"/>
    <w:rsid w:val="003D5283"/>
    <w:rsid w:val="003F3520"/>
    <w:rsid w:val="004575A0"/>
    <w:rsid w:val="0049264E"/>
    <w:rsid w:val="004979DF"/>
    <w:rsid w:val="00582D01"/>
    <w:rsid w:val="00585CD6"/>
    <w:rsid w:val="005C4288"/>
    <w:rsid w:val="007D018D"/>
    <w:rsid w:val="007F1AA9"/>
    <w:rsid w:val="00840C0E"/>
    <w:rsid w:val="00852B31"/>
    <w:rsid w:val="00913766"/>
    <w:rsid w:val="00932BBA"/>
    <w:rsid w:val="0097445D"/>
    <w:rsid w:val="00A62FA0"/>
    <w:rsid w:val="00AB6EB9"/>
    <w:rsid w:val="00B71A41"/>
    <w:rsid w:val="00BF716C"/>
    <w:rsid w:val="00C12F51"/>
    <w:rsid w:val="00C4488A"/>
    <w:rsid w:val="00C86353"/>
    <w:rsid w:val="00CD36EA"/>
    <w:rsid w:val="00D41014"/>
    <w:rsid w:val="00E9462B"/>
    <w:rsid w:val="00ED4CED"/>
    <w:rsid w:val="00EF3578"/>
    <w:rsid w:val="00F73196"/>
    <w:rsid w:val="00FD203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9462B"/>
  </w:style>
  <w:style w:type="paragraph" w:styleId="Titolo1">
    <w:name w:val="heading 1"/>
    <w:basedOn w:val="Normale"/>
    <w:next w:val="Normale"/>
    <w:link w:val="Titolo1Carattere"/>
    <w:uiPriority w:val="9"/>
    <w:qFormat/>
    <w:rsid w:val="00BF716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semiHidden/>
    <w:unhideWhenUsed/>
    <w:rsid w:val="00AB6EB9"/>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AB6EB9"/>
  </w:style>
  <w:style w:type="paragraph" w:styleId="Pidipagina">
    <w:name w:val="footer"/>
    <w:basedOn w:val="Normale"/>
    <w:link w:val="PidipaginaCarattere"/>
    <w:uiPriority w:val="99"/>
    <w:unhideWhenUsed/>
    <w:rsid w:val="00AB6EB9"/>
    <w:pPr>
      <w:tabs>
        <w:tab w:val="center" w:pos="4819"/>
        <w:tab w:val="right" w:pos="9638"/>
      </w:tabs>
    </w:pPr>
  </w:style>
  <w:style w:type="character" w:customStyle="1" w:styleId="PidipaginaCarattere">
    <w:name w:val="Piè di pagina Carattere"/>
    <w:basedOn w:val="Carpredefinitoparagrafo"/>
    <w:link w:val="Pidipagina"/>
    <w:uiPriority w:val="99"/>
    <w:rsid w:val="00AB6EB9"/>
  </w:style>
  <w:style w:type="paragraph" w:styleId="Testofumetto">
    <w:name w:val="Balloon Text"/>
    <w:basedOn w:val="Normale"/>
    <w:link w:val="TestofumettoCarattere"/>
    <w:uiPriority w:val="99"/>
    <w:semiHidden/>
    <w:unhideWhenUsed/>
    <w:rsid w:val="00585CD6"/>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85CD6"/>
    <w:rPr>
      <w:rFonts w:ascii="Tahoma" w:hAnsi="Tahoma" w:cs="Tahoma"/>
      <w:sz w:val="16"/>
      <w:szCs w:val="16"/>
    </w:rPr>
  </w:style>
  <w:style w:type="paragraph" w:styleId="Didascalia">
    <w:name w:val="caption"/>
    <w:basedOn w:val="Normale"/>
    <w:next w:val="Normale"/>
    <w:uiPriority w:val="35"/>
    <w:unhideWhenUsed/>
    <w:qFormat/>
    <w:rsid w:val="00585CD6"/>
    <w:pPr>
      <w:spacing w:after="200"/>
    </w:pPr>
    <w:rPr>
      <w:b/>
      <w:bCs/>
      <w:color w:val="4F81BD" w:themeColor="accent1"/>
      <w:sz w:val="18"/>
      <w:szCs w:val="18"/>
    </w:rPr>
  </w:style>
  <w:style w:type="character" w:styleId="Testosegnaposto">
    <w:name w:val="Placeholder Text"/>
    <w:basedOn w:val="Carpredefinitoparagrafo"/>
    <w:uiPriority w:val="99"/>
    <w:semiHidden/>
    <w:rsid w:val="004575A0"/>
    <w:rPr>
      <w:color w:val="808080"/>
    </w:rPr>
  </w:style>
  <w:style w:type="character" w:styleId="Collegamentoipertestuale">
    <w:name w:val="Hyperlink"/>
    <w:basedOn w:val="Carpredefinitoparagrafo"/>
    <w:uiPriority w:val="99"/>
    <w:unhideWhenUsed/>
    <w:rsid w:val="00145FCE"/>
    <w:rPr>
      <w:color w:val="0000FF" w:themeColor="hyperlink"/>
      <w:u w:val="single"/>
    </w:rPr>
  </w:style>
  <w:style w:type="table" w:styleId="Grigliatabella">
    <w:name w:val="Table Grid"/>
    <w:basedOn w:val="Tabellanormale"/>
    <w:uiPriority w:val="59"/>
    <w:rsid w:val="000E4D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olo1Carattere">
    <w:name w:val="Titolo 1 Carattere"/>
    <w:basedOn w:val="Carpredefinitoparagrafo"/>
    <w:link w:val="Titolo1"/>
    <w:uiPriority w:val="9"/>
    <w:rsid w:val="00BF716C"/>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298</TotalTime>
  <Pages>3</Pages>
  <Words>1312</Words>
  <Characters>7480</Characters>
  <Application>Microsoft Office Word</Application>
  <DocSecurity>0</DocSecurity>
  <Lines>62</Lines>
  <Paragraphs>17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Gabriele</dc:creator>
  <cp:lastModifiedBy>Gabriele</cp:lastModifiedBy>
  <cp:revision>4</cp:revision>
  <cp:lastPrinted>2011-10-25T16:55:00Z</cp:lastPrinted>
  <dcterms:created xsi:type="dcterms:W3CDTF">2011-10-25T11:17:00Z</dcterms:created>
  <dcterms:modified xsi:type="dcterms:W3CDTF">2011-10-25T16:56:00Z</dcterms:modified>
</cp:coreProperties>
</file>